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87" w:rsidRDefault="00D94D87">
      <w:pPr>
        <w:rPr>
          <w:rFonts w:ascii="宋体" w:hAnsi="宋体"/>
        </w:rPr>
      </w:pPr>
      <w:r w:rsidRPr="000B72F9">
        <w:rPr>
          <w:rFonts w:ascii="宋体" w:hAnsi="宋体" w:hint="eastAsia"/>
        </w:rPr>
        <w:t>证券简称：长安汽车（长安</w:t>
      </w:r>
      <w:r w:rsidRPr="000B72F9">
        <w:rPr>
          <w:rFonts w:ascii="Arial" w:hAnsi="Arial" w:cs="Arial" w:hint="eastAsia"/>
        </w:rPr>
        <w:t>B</w:t>
      </w:r>
      <w:r w:rsidRPr="000B72F9">
        <w:rPr>
          <w:rFonts w:ascii="宋体" w:hAnsi="宋体" w:hint="eastAsia"/>
        </w:rPr>
        <w:t>）     证券代码：</w:t>
      </w:r>
      <w:r w:rsidRPr="000B72F9">
        <w:rPr>
          <w:rFonts w:ascii="Arial" w:hAnsi="Arial" w:cs="Arial" w:hint="eastAsia"/>
        </w:rPr>
        <w:t>000625</w:t>
      </w:r>
      <w:r w:rsidRPr="000B72F9">
        <w:rPr>
          <w:rFonts w:ascii="Arial" w:hAnsi="Arial" w:cs="Arial" w:hint="eastAsia"/>
        </w:rPr>
        <w:t>（</w:t>
      </w:r>
      <w:r w:rsidRPr="000B72F9">
        <w:rPr>
          <w:rFonts w:ascii="Arial" w:hAnsi="Arial" w:cs="Arial" w:hint="eastAsia"/>
        </w:rPr>
        <w:t>200625</w:t>
      </w:r>
      <w:r w:rsidRPr="000B72F9">
        <w:rPr>
          <w:rFonts w:ascii="Arial" w:hAnsi="Arial" w:cs="Arial" w:hint="eastAsia"/>
        </w:rPr>
        <w:t>）</w:t>
      </w:r>
      <w:r w:rsidRPr="000B72F9">
        <w:rPr>
          <w:rFonts w:ascii="宋体" w:hAnsi="宋体" w:hint="eastAsia"/>
        </w:rPr>
        <w:t xml:space="preserve">     公告编号：</w:t>
      </w:r>
      <w:r w:rsidR="00C56DDA" w:rsidRPr="000B72F9">
        <w:rPr>
          <w:rFonts w:ascii="宋体" w:hAnsi="宋体" w:hint="eastAsia"/>
        </w:rPr>
        <w:t>201</w:t>
      </w:r>
      <w:r w:rsidR="000B72F9">
        <w:rPr>
          <w:rFonts w:ascii="宋体" w:hAnsi="宋体"/>
        </w:rPr>
        <w:t>8</w:t>
      </w:r>
      <w:r w:rsidR="00AA0759" w:rsidRPr="000B72F9">
        <w:rPr>
          <w:rFonts w:ascii="宋体" w:hAnsi="宋体"/>
        </w:rPr>
        <w:t>-</w:t>
      </w:r>
      <w:r w:rsidR="00F05B25">
        <w:rPr>
          <w:rFonts w:ascii="宋体" w:hAnsi="宋体"/>
        </w:rPr>
        <w:t>2</w:t>
      </w:r>
      <w:r w:rsidR="0035205E">
        <w:rPr>
          <w:rFonts w:ascii="宋体" w:hAnsi="宋体"/>
        </w:rPr>
        <w:t>3</w:t>
      </w:r>
    </w:p>
    <w:p w:rsidR="00D94D87" w:rsidRDefault="00D94D87">
      <w:pPr>
        <w:spacing w:line="0" w:lineRule="atLeast"/>
        <w:jc w:val="center"/>
        <w:rPr>
          <w:b/>
          <w:sz w:val="28"/>
        </w:rPr>
      </w:pPr>
      <w:r>
        <w:rPr>
          <w:rFonts w:hint="eastAsia"/>
          <w:b/>
          <w:sz w:val="28"/>
        </w:rPr>
        <w:t>重庆长安汽车股份有限公司</w:t>
      </w:r>
    </w:p>
    <w:p w:rsidR="00CA5866" w:rsidRPr="00CA5866" w:rsidRDefault="00CA5866" w:rsidP="00FB5024">
      <w:pPr>
        <w:spacing w:afterLines="50" w:after="169" w:line="0" w:lineRule="atLeast"/>
        <w:jc w:val="center"/>
        <w:rPr>
          <w:b/>
          <w:sz w:val="28"/>
        </w:rPr>
      </w:pPr>
      <w:r w:rsidRPr="00CA5866">
        <w:rPr>
          <w:rFonts w:hint="eastAsia"/>
          <w:b/>
          <w:sz w:val="28"/>
        </w:rPr>
        <w:t>关于</w:t>
      </w:r>
      <w:r w:rsidR="00F05B25">
        <w:rPr>
          <w:rFonts w:hint="eastAsia"/>
          <w:b/>
          <w:sz w:val="28"/>
        </w:rPr>
        <w:t>注销公司</w:t>
      </w:r>
      <w:r w:rsidR="00F05B25">
        <w:rPr>
          <w:b/>
          <w:sz w:val="28"/>
        </w:rPr>
        <w:t>部分股票期权</w:t>
      </w:r>
      <w:r w:rsidRPr="00CA5866">
        <w:rPr>
          <w:rFonts w:hint="eastAsia"/>
          <w:b/>
          <w:sz w:val="28"/>
        </w:rPr>
        <w:t>的公告</w:t>
      </w:r>
    </w:p>
    <w:p w:rsidR="0037104C" w:rsidRPr="0037104C" w:rsidRDefault="00D94D87" w:rsidP="0037104C">
      <w:pPr>
        <w:ind w:firstLineChars="200" w:firstLine="456"/>
        <w:rPr>
          <w:sz w:val="24"/>
        </w:rPr>
      </w:pPr>
      <w:r>
        <w:rPr>
          <w:rFonts w:hint="eastAsia"/>
        </w:rPr>
        <w:t>本公司及董事会全体成员保证公告内容真实、准确、完整，没有虚假记载、误导性陈述或重大遗漏。</w:t>
      </w:r>
    </w:p>
    <w:p w:rsidR="0037104C" w:rsidRPr="0037104C" w:rsidRDefault="0037104C" w:rsidP="003F062C">
      <w:pPr>
        <w:spacing w:line="420" w:lineRule="exact"/>
        <w:ind w:firstLine="480"/>
        <w:rPr>
          <w:rFonts w:ascii="宋体" w:hAnsi="宋体"/>
          <w:sz w:val="24"/>
          <w:szCs w:val="24"/>
        </w:rPr>
      </w:pPr>
      <w:r w:rsidRPr="0037104C">
        <w:rPr>
          <w:rFonts w:ascii="宋体" w:hAnsi="宋体" w:hint="eastAsia"/>
          <w:sz w:val="24"/>
          <w:szCs w:val="24"/>
        </w:rPr>
        <w:t>201</w:t>
      </w:r>
      <w:r>
        <w:rPr>
          <w:rFonts w:ascii="宋体" w:hAnsi="宋体"/>
          <w:sz w:val="24"/>
          <w:szCs w:val="24"/>
        </w:rPr>
        <w:t>8</w:t>
      </w:r>
      <w:r w:rsidRPr="0037104C">
        <w:rPr>
          <w:rFonts w:ascii="宋体" w:hAnsi="宋体" w:hint="eastAsia"/>
          <w:sz w:val="24"/>
          <w:szCs w:val="24"/>
        </w:rPr>
        <w:t>年</w:t>
      </w:r>
      <w:r>
        <w:rPr>
          <w:rFonts w:ascii="宋体" w:hAnsi="宋体"/>
          <w:sz w:val="24"/>
          <w:szCs w:val="24"/>
        </w:rPr>
        <w:t>4</w:t>
      </w:r>
      <w:r w:rsidRPr="0037104C">
        <w:rPr>
          <w:rFonts w:ascii="宋体" w:hAnsi="宋体" w:hint="eastAsia"/>
          <w:sz w:val="24"/>
          <w:szCs w:val="24"/>
        </w:rPr>
        <w:t>月</w:t>
      </w:r>
      <w:r>
        <w:rPr>
          <w:rFonts w:ascii="宋体" w:hAnsi="宋体" w:hint="eastAsia"/>
          <w:sz w:val="24"/>
          <w:szCs w:val="24"/>
        </w:rPr>
        <w:t>17</w:t>
      </w:r>
      <w:r w:rsidRPr="0037104C">
        <w:rPr>
          <w:rFonts w:ascii="宋体" w:hAnsi="宋体" w:hint="eastAsia"/>
          <w:sz w:val="24"/>
          <w:szCs w:val="24"/>
        </w:rPr>
        <w:t>日，</w:t>
      </w:r>
      <w:r>
        <w:rPr>
          <w:rFonts w:ascii="宋体" w:hAnsi="宋体" w:hint="eastAsia"/>
          <w:sz w:val="24"/>
          <w:szCs w:val="24"/>
        </w:rPr>
        <w:t>重庆长安汽车</w:t>
      </w:r>
      <w:r>
        <w:rPr>
          <w:rFonts w:ascii="宋体" w:hAnsi="宋体"/>
          <w:sz w:val="24"/>
          <w:szCs w:val="24"/>
        </w:rPr>
        <w:t>股份</w:t>
      </w:r>
      <w:r w:rsidRPr="0037104C">
        <w:rPr>
          <w:rFonts w:ascii="宋体" w:hAnsi="宋体" w:hint="eastAsia"/>
          <w:sz w:val="24"/>
          <w:szCs w:val="24"/>
        </w:rPr>
        <w:t>有限公司（以下简称</w:t>
      </w:r>
      <w:r>
        <w:rPr>
          <w:rFonts w:ascii="宋体" w:hAnsi="宋体" w:hint="eastAsia"/>
          <w:sz w:val="24"/>
          <w:szCs w:val="24"/>
        </w:rPr>
        <w:t>“长安汽车”或</w:t>
      </w:r>
      <w:r w:rsidRPr="0037104C">
        <w:rPr>
          <w:rFonts w:ascii="宋体" w:hAnsi="宋体" w:hint="eastAsia"/>
          <w:sz w:val="24"/>
          <w:szCs w:val="24"/>
        </w:rPr>
        <w:t>“公司”）第</w:t>
      </w:r>
      <w:r w:rsidR="00090537">
        <w:rPr>
          <w:rFonts w:ascii="宋体" w:hAnsi="宋体" w:hint="eastAsia"/>
          <w:sz w:val="24"/>
          <w:szCs w:val="24"/>
        </w:rPr>
        <w:t>七届董事会第三十</w:t>
      </w:r>
      <w:r w:rsidRPr="0037104C">
        <w:rPr>
          <w:rFonts w:ascii="宋体" w:hAnsi="宋体" w:hint="eastAsia"/>
          <w:sz w:val="24"/>
          <w:szCs w:val="24"/>
        </w:rPr>
        <w:t>次会议审议通过了《关于</w:t>
      </w:r>
      <w:r w:rsidR="00090537" w:rsidRPr="00090537">
        <w:rPr>
          <w:rFonts w:ascii="宋体" w:hAnsi="宋体" w:hint="eastAsia"/>
          <w:sz w:val="24"/>
          <w:szCs w:val="24"/>
        </w:rPr>
        <w:t>注销公司部分股票期权</w:t>
      </w:r>
      <w:r w:rsidRPr="0037104C">
        <w:rPr>
          <w:rFonts w:ascii="宋体" w:hAnsi="宋体" w:hint="eastAsia"/>
          <w:sz w:val="24"/>
          <w:szCs w:val="24"/>
        </w:rPr>
        <w:t>的议案》，根据《股票期权激励计划（草案修订稿）》及相关规定，公司将注销</w:t>
      </w:r>
      <w:r w:rsidR="0078546C">
        <w:rPr>
          <w:rFonts w:ascii="宋体" w:hAnsi="宋体"/>
          <w:sz w:val="24"/>
          <w:szCs w:val="24"/>
        </w:rPr>
        <w:t>1,</w:t>
      </w:r>
      <w:r w:rsidR="00090537" w:rsidRPr="00090537">
        <w:rPr>
          <w:rFonts w:ascii="宋体" w:hAnsi="宋体"/>
          <w:sz w:val="24"/>
          <w:szCs w:val="24"/>
        </w:rPr>
        <w:t>082.66</w:t>
      </w:r>
      <w:r w:rsidRPr="0037104C">
        <w:rPr>
          <w:rFonts w:ascii="宋体" w:hAnsi="宋体" w:hint="eastAsia"/>
          <w:sz w:val="24"/>
          <w:szCs w:val="24"/>
        </w:rPr>
        <w:t>万份股票期权</w:t>
      </w:r>
      <w:r w:rsidR="00090537">
        <w:rPr>
          <w:rFonts w:ascii="宋体" w:hAnsi="宋体" w:hint="eastAsia"/>
          <w:sz w:val="24"/>
          <w:szCs w:val="24"/>
        </w:rPr>
        <w:t>。</w:t>
      </w:r>
    </w:p>
    <w:p w:rsidR="003F062C" w:rsidRPr="003F062C" w:rsidRDefault="003F062C" w:rsidP="003F062C">
      <w:pPr>
        <w:spacing w:line="420" w:lineRule="exact"/>
        <w:ind w:firstLine="480"/>
        <w:rPr>
          <w:rFonts w:ascii="宋体" w:hAnsi="宋体"/>
          <w:b/>
          <w:sz w:val="24"/>
          <w:szCs w:val="24"/>
        </w:rPr>
      </w:pPr>
      <w:r w:rsidRPr="003F062C">
        <w:rPr>
          <w:rFonts w:ascii="宋体" w:hAnsi="宋体" w:hint="eastAsia"/>
          <w:b/>
          <w:sz w:val="24"/>
          <w:szCs w:val="24"/>
        </w:rPr>
        <w:t>一、公司股票期权激励计划简述</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根据公司《股票期权激励计划（草案修订稿）》（以下简称“本计划”），公司股票期权激励计划主要内容如下：</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1、授予激励对象的激励工具为股票期权。</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2、股票期权激励计划的股票来源为公司向激励对象定向发行公司A股普通股。</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3</w:t>
      </w:r>
      <w:r w:rsidR="0015040B">
        <w:rPr>
          <w:rFonts w:ascii="宋体" w:hAnsi="宋体" w:hint="eastAsia"/>
          <w:sz w:val="24"/>
          <w:szCs w:val="24"/>
        </w:rPr>
        <w:t>、本计划</w:t>
      </w:r>
      <w:r w:rsidRPr="003F062C">
        <w:rPr>
          <w:rFonts w:ascii="宋体" w:hAnsi="宋体" w:hint="eastAsia"/>
          <w:sz w:val="24"/>
          <w:szCs w:val="24"/>
        </w:rPr>
        <w:t>向激励对象授予</w:t>
      </w:r>
      <w:r w:rsidRPr="003F062C">
        <w:rPr>
          <w:rFonts w:ascii="宋体" w:hAnsi="宋体"/>
          <w:sz w:val="24"/>
          <w:szCs w:val="24"/>
        </w:rPr>
        <w:t>2914</w:t>
      </w:r>
      <w:r w:rsidRPr="003F062C">
        <w:rPr>
          <w:rFonts w:ascii="宋体" w:hAnsi="宋体" w:hint="eastAsia"/>
          <w:sz w:val="24"/>
          <w:szCs w:val="24"/>
        </w:rPr>
        <w:t>万份股票期权，涉及的标的股票种类为人民币A 股普通股，约占本激励计划签署时公司总股本466288.61万股的0.62</w:t>
      </w:r>
      <w:r w:rsidRPr="003F062C">
        <w:rPr>
          <w:rFonts w:ascii="宋体" w:hAnsi="宋体"/>
          <w:sz w:val="24"/>
          <w:szCs w:val="24"/>
        </w:rPr>
        <w:t>5</w:t>
      </w:r>
      <w:r w:rsidRPr="003F062C">
        <w:rPr>
          <w:rFonts w:ascii="宋体" w:hAnsi="宋体" w:hint="eastAsia"/>
          <w:sz w:val="24"/>
          <w:szCs w:val="24"/>
        </w:rPr>
        <w:t>%。在满足行权条件的情况下，激励对象获授的每一份股票期权拥有在有效期内以行权价格购买1股公司股票的权利。激励对象获授的股票期权不得转让、用于担保或偿还债务。</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4、本计划授予激励对象共</w:t>
      </w:r>
      <w:r w:rsidRPr="003F062C">
        <w:rPr>
          <w:rFonts w:ascii="宋体" w:hAnsi="宋体"/>
          <w:sz w:val="24"/>
          <w:szCs w:val="24"/>
        </w:rPr>
        <w:t>202</w:t>
      </w:r>
      <w:r w:rsidRPr="003F062C">
        <w:rPr>
          <w:rFonts w:ascii="宋体" w:hAnsi="宋体" w:hint="eastAsia"/>
          <w:sz w:val="24"/>
          <w:szCs w:val="24"/>
        </w:rPr>
        <w:t>人，包括公司高级管理人员</w:t>
      </w:r>
      <w:r w:rsidRPr="003F062C">
        <w:rPr>
          <w:rFonts w:ascii="宋体" w:hAnsi="宋体"/>
          <w:sz w:val="24"/>
          <w:szCs w:val="24"/>
        </w:rPr>
        <w:t>14</w:t>
      </w:r>
      <w:r w:rsidRPr="003F062C">
        <w:rPr>
          <w:rFonts w:ascii="宋体" w:hAnsi="宋体" w:hint="eastAsia"/>
          <w:sz w:val="24"/>
          <w:szCs w:val="24"/>
        </w:rPr>
        <w:t>人，核心技术和</w:t>
      </w:r>
      <w:r w:rsidRPr="003F062C">
        <w:rPr>
          <w:rFonts w:ascii="宋体" w:hAnsi="宋体"/>
          <w:sz w:val="24"/>
          <w:szCs w:val="24"/>
        </w:rPr>
        <w:t>管理人员188</w:t>
      </w:r>
      <w:r w:rsidRPr="003F062C">
        <w:rPr>
          <w:rFonts w:ascii="宋体" w:hAnsi="宋体" w:hint="eastAsia"/>
          <w:sz w:val="24"/>
          <w:szCs w:val="24"/>
        </w:rPr>
        <w:t>人，不包括公司的独立董事、监事</w:t>
      </w:r>
      <w:r w:rsidR="00FC382D">
        <w:rPr>
          <w:rFonts w:ascii="宋体" w:hAnsi="宋体" w:hint="eastAsia"/>
          <w:sz w:val="24"/>
          <w:szCs w:val="24"/>
        </w:rPr>
        <w:t>。</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5、本次股权激励计划为首期计划，有效期为5年。</w:t>
      </w:r>
      <w:r w:rsidRPr="003F062C">
        <w:rPr>
          <w:rFonts w:ascii="宋体" w:hAnsi="宋体"/>
          <w:sz w:val="24"/>
          <w:szCs w:val="24"/>
        </w:rPr>
        <w:t>本次授予期权行权期及各期行权时间安排如表所示：</w:t>
      </w:r>
    </w:p>
    <w:tbl>
      <w:tblPr>
        <w:tblW w:w="86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44"/>
        <w:gridCol w:w="4313"/>
        <w:gridCol w:w="2323"/>
      </w:tblGrid>
      <w:tr w:rsidR="003F062C" w:rsidRPr="003F062C" w:rsidTr="00184078">
        <w:trPr>
          <w:trHeight w:val="717"/>
          <w:jc w:val="center"/>
        </w:trPr>
        <w:tc>
          <w:tcPr>
            <w:tcW w:w="2044" w:type="dxa"/>
            <w:shd w:val="clear" w:color="auto" w:fill="D9D9D9"/>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行权安排</w:t>
            </w:r>
          </w:p>
        </w:tc>
        <w:tc>
          <w:tcPr>
            <w:tcW w:w="4313" w:type="dxa"/>
            <w:shd w:val="clear" w:color="auto" w:fill="D9D9D9"/>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行权时间</w:t>
            </w:r>
          </w:p>
        </w:tc>
        <w:tc>
          <w:tcPr>
            <w:tcW w:w="2323" w:type="dxa"/>
            <w:shd w:val="clear" w:color="auto" w:fill="D9D9D9"/>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可行权数量占获授权益数量比例</w:t>
            </w:r>
          </w:p>
        </w:tc>
      </w:tr>
      <w:tr w:rsidR="003F062C" w:rsidRPr="003F062C" w:rsidTr="00184078">
        <w:trPr>
          <w:trHeight w:val="692"/>
          <w:jc w:val="center"/>
        </w:trPr>
        <w:tc>
          <w:tcPr>
            <w:tcW w:w="2044" w:type="dxa"/>
            <w:vAlign w:val="center"/>
          </w:tcPr>
          <w:p w:rsidR="003F062C" w:rsidRPr="003F062C" w:rsidRDefault="003F062C" w:rsidP="00184078">
            <w:pPr>
              <w:pStyle w:val="Default"/>
              <w:jc w:val="center"/>
              <w:rPr>
                <w:rFonts w:hAnsi="宋体" w:cs="Times New Roman"/>
                <w:color w:val="auto"/>
              </w:rPr>
            </w:pPr>
            <w:r w:rsidRPr="003F062C">
              <w:rPr>
                <w:rFonts w:hAnsi="宋体" w:cs="Times New Roman"/>
                <w:color w:val="auto"/>
              </w:rPr>
              <w:t>第一个行权期</w:t>
            </w:r>
          </w:p>
        </w:tc>
        <w:tc>
          <w:tcPr>
            <w:tcW w:w="4313" w:type="dxa"/>
            <w:vAlign w:val="center"/>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bCs/>
                <w:sz w:val="24"/>
                <w:szCs w:val="24"/>
              </w:rPr>
              <w:t>自授予日起24个月后的首个交易日起至授予日起36个月内的最后一个交易日当日止</w:t>
            </w:r>
          </w:p>
        </w:tc>
        <w:tc>
          <w:tcPr>
            <w:tcW w:w="2323" w:type="dxa"/>
            <w:vAlign w:val="center"/>
          </w:tcPr>
          <w:p w:rsidR="003F062C" w:rsidRPr="003F062C" w:rsidRDefault="003F062C" w:rsidP="00184078">
            <w:pPr>
              <w:autoSpaceDE w:val="0"/>
              <w:autoSpaceDN w:val="0"/>
              <w:adjustRightInd w:val="0"/>
              <w:spacing w:line="360" w:lineRule="auto"/>
              <w:jc w:val="center"/>
              <w:rPr>
                <w:rFonts w:ascii="宋体" w:hAnsi="宋体"/>
                <w:bCs/>
                <w:sz w:val="24"/>
                <w:szCs w:val="24"/>
              </w:rPr>
            </w:pPr>
            <w:r w:rsidRPr="003F062C">
              <w:rPr>
                <w:rFonts w:ascii="宋体" w:hAnsi="宋体" w:hint="eastAsia"/>
                <w:bCs/>
                <w:sz w:val="24"/>
                <w:szCs w:val="24"/>
              </w:rPr>
              <w:t>1/3</w:t>
            </w:r>
          </w:p>
        </w:tc>
      </w:tr>
      <w:tr w:rsidR="003F062C" w:rsidRPr="003F062C" w:rsidTr="00184078">
        <w:trPr>
          <w:trHeight w:val="715"/>
          <w:jc w:val="center"/>
        </w:trPr>
        <w:tc>
          <w:tcPr>
            <w:tcW w:w="2044" w:type="dxa"/>
            <w:vAlign w:val="center"/>
          </w:tcPr>
          <w:p w:rsidR="003F062C" w:rsidRPr="003F062C" w:rsidRDefault="003F062C" w:rsidP="00184078">
            <w:pPr>
              <w:jc w:val="center"/>
              <w:rPr>
                <w:rFonts w:ascii="宋体" w:hAnsi="宋体"/>
                <w:sz w:val="24"/>
                <w:szCs w:val="24"/>
              </w:rPr>
            </w:pPr>
            <w:r w:rsidRPr="003F062C">
              <w:rPr>
                <w:rFonts w:ascii="宋体" w:hAnsi="宋体"/>
                <w:sz w:val="24"/>
                <w:szCs w:val="24"/>
              </w:rPr>
              <w:t>第二个行权期</w:t>
            </w:r>
          </w:p>
        </w:tc>
        <w:tc>
          <w:tcPr>
            <w:tcW w:w="4313" w:type="dxa"/>
            <w:vAlign w:val="center"/>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bCs/>
                <w:sz w:val="24"/>
                <w:szCs w:val="24"/>
              </w:rPr>
              <w:t>自授予日起36个月后的首个交易日起至授予日起48个月内的最后一个交易日当日止</w:t>
            </w:r>
          </w:p>
        </w:tc>
        <w:tc>
          <w:tcPr>
            <w:tcW w:w="2323" w:type="dxa"/>
            <w:vAlign w:val="center"/>
          </w:tcPr>
          <w:p w:rsidR="003F062C" w:rsidRPr="003F062C" w:rsidRDefault="003F062C" w:rsidP="00184078">
            <w:pPr>
              <w:autoSpaceDE w:val="0"/>
              <w:autoSpaceDN w:val="0"/>
              <w:adjustRightInd w:val="0"/>
              <w:spacing w:line="360" w:lineRule="auto"/>
              <w:jc w:val="center"/>
              <w:rPr>
                <w:rFonts w:ascii="宋体" w:hAnsi="宋体"/>
                <w:bCs/>
                <w:sz w:val="24"/>
                <w:szCs w:val="24"/>
              </w:rPr>
            </w:pPr>
            <w:r w:rsidRPr="003F062C">
              <w:rPr>
                <w:rFonts w:ascii="宋体" w:hAnsi="宋体" w:hint="eastAsia"/>
                <w:bCs/>
                <w:sz w:val="24"/>
                <w:szCs w:val="24"/>
              </w:rPr>
              <w:t>1/3</w:t>
            </w:r>
          </w:p>
        </w:tc>
      </w:tr>
      <w:tr w:rsidR="003F062C" w:rsidRPr="003F062C" w:rsidTr="00184078">
        <w:trPr>
          <w:trHeight w:val="715"/>
          <w:jc w:val="center"/>
        </w:trPr>
        <w:tc>
          <w:tcPr>
            <w:tcW w:w="2044" w:type="dxa"/>
            <w:vAlign w:val="center"/>
          </w:tcPr>
          <w:p w:rsidR="003F062C" w:rsidRPr="003F062C" w:rsidRDefault="003F062C" w:rsidP="00184078">
            <w:pPr>
              <w:jc w:val="center"/>
              <w:rPr>
                <w:rFonts w:ascii="宋体" w:hAnsi="宋体"/>
                <w:sz w:val="24"/>
                <w:szCs w:val="24"/>
              </w:rPr>
            </w:pPr>
            <w:r w:rsidRPr="003F062C">
              <w:rPr>
                <w:rFonts w:ascii="宋体" w:hAnsi="宋体"/>
                <w:sz w:val="24"/>
                <w:szCs w:val="24"/>
              </w:rPr>
              <w:t>第三个行权期</w:t>
            </w:r>
          </w:p>
        </w:tc>
        <w:tc>
          <w:tcPr>
            <w:tcW w:w="4313" w:type="dxa"/>
            <w:vAlign w:val="center"/>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bCs/>
                <w:sz w:val="24"/>
                <w:szCs w:val="24"/>
              </w:rPr>
              <w:t>自授予日起48个月后的首个交易日起至授予日起60个月内的最后一个交易日当日止</w:t>
            </w:r>
          </w:p>
        </w:tc>
        <w:tc>
          <w:tcPr>
            <w:tcW w:w="2323" w:type="dxa"/>
            <w:vAlign w:val="center"/>
          </w:tcPr>
          <w:p w:rsidR="003F062C" w:rsidRPr="003F062C" w:rsidRDefault="003F062C" w:rsidP="00184078">
            <w:pPr>
              <w:autoSpaceDE w:val="0"/>
              <w:autoSpaceDN w:val="0"/>
              <w:adjustRightInd w:val="0"/>
              <w:spacing w:line="360" w:lineRule="auto"/>
              <w:jc w:val="center"/>
              <w:rPr>
                <w:rFonts w:ascii="宋体" w:hAnsi="宋体"/>
                <w:bCs/>
                <w:sz w:val="24"/>
                <w:szCs w:val="24"/>
              </w:rPr>
            </w:pPr>
            <w:r w:rsidRPr="003F062C">
              <w:rPr>
                <w:rFonts w:ascii="宋体" w:hAnsi="宋体" w:hint="eastAsia"/>
                <w:bCs/>
                <w:sz w:val="24"/>
                <w:szCs w:val="24"/>
              </w:rPr>
              <w:t>1/3</w:t>
            </w:r>
          </w:p>
        </w:tc>
      </w:tr>
    </w:tbl>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6、</w:t>
      </w:r>
      <w:r w:rsidRPr="003F062C">
        <w:rPr>
          <w:rFonts w:ascii="宋体" w:hAnsi="宋体"/>
          <w:sz w:val="24"/>
          <w:szCs w:val="24"/>
        </w:rPr>
        <w:t>各年度绩效考核目标如下表所示：</w:t>
      </w:r>
    </w:p>
    <w:tbl>
      <w:tblPr>
        <w:tblW w:w="89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4"/>
        <w:gridCol w:w="7117"/>
      </w:tblGrid>
      <w:tr w:rsidR="003F062C" w:rsidRPr="003F062C" w:rsidTr="00184078">
        <w:trPr>
          <w:trHeight w:val="567"/>
          <w:jc w:val="center"/>
        </w:trPr>
        <w:tc>
          <w:tcPr>
            <w:tcW w:w="1824" w:type="dxa"/>
            <w:shd w:val="clear" w:color="auto" w:fill="BFBFBF"/>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行权期</w:t>
            </w:r>
          </w:p>
        </w:tc>
        <w:tc>
          <w:tcPr>
            <w:tcW w:w="7117" w:type="dxa"/>
            <w:shd w:val="clear" w:color="auto" w:fill="BFBFBF"/>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业绩考核目标</w:t>
            </w:r>
          </w:p>
        </w:tc>
      </w:tr>
      <w:tr w:rsidR="003F062C" w:rsidRPr="003F062C" w:rsidTr="00184078">
        <w:trPr>
          <w:trHeight w:val="578"/>
          <w:jc w:val="center"/>
        </w:trPr>
        <w:tc>
          <w:tcPr>
            <w:tcW w:w="1824" w:type="dxa"/>
            <w:vAlign w:val="center"/>
          </w:tcPr>
          <w:p w:rsidR="003F062C" w:rsidRPr="003F062C" w:rsidRDefault="003F062C" w:rsidP="00184078">
            <w:pPr>
              <w:autoSpaceDE w:val="0"/>
              <w:autoSpaceDN w:val="0"/>
              <w:adjustRightInd w:val="0"/>
              <w:jc w:val="center"/>
              <w:rPr>
                <w:rFonts w:ascii="宋体" w:hAnsi="宋体"/>
                <w:bCs/>
                <w:sz w:val="24"/>
                <w:szCs w:val="24"/>
              </w:rPr>
            </w:pPr>
            <w:r w:rsidRPr="003F062C">
              <w:rPr>
                <w:rFonts w:ascii="宋体" w:hAnsi="宋体"/>
                <w:bCs/>
                <w:sz w:val="24"/>
                <w:szCs w:val="24"/>
              </w:rPr>
              <w:lastRenderedPageBreak/>
              <w:t>第一个行权期</w:t>
            </w:r>
          </w:p>
        </w:tc>
        <w:tc>
          <w:tcPr>
            <w:tcW w:w="7117" w:type="dxa"/>
            <w:vAlign w:val="center"/>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2017年净利润基于2015年年均增长率≥3.2%（对应绝对值为101.82亿元）；净资产收益率≥15%；</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且上述指标都≥对标企业平均水平，且≥对标企业75分位；</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△EVA为正；</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主营业务收入占营业收入的比例≥95%。</w:t>
            </w:r>
          </w:p>
        </w:tc>
      </w:tr>
      <w:tr w:rsidR="003F062C" w:rsidRPr="003F062C" w:rsidTr="00184078">
        <w:trPr>
          <w:trHeight w:val="563"/>
          <w:jc w:val="center"/>
        </w:trPr>
        <w:tc>
          <w:tcPr>
            <w:tcW w:w="1824" w:type="dxa"/>
            <w:vAlign w:val="center"/>
          </w:tcPr>
          <w:p w:rsidR="003F062C" w:rsidRPr="003F062C" w:rsidRDefault="003F062C" w:rsidP="00184078">
            <w:pPr>
              <w:autoSpaceDE w:val="0"/>
              <w:autoSpaceDN w:val="0"/>
              <w:adjustRightInd w:val="0"/>
              <w:jc w:val="center"/>
              <w:rPr>
                <w:rFonts w:ascii="宋体" w:hAnsi="宋体"/>
                <w:bCs/>
                <w:sz w:val="24"/>
                <w:szCs w:val="24"/>
              </w:rPr>
            </w:pPr>
            <w:r w:rsidRPr="003F062C">
              <w:rPr>
                <w:rFonts w:ascii="宋体" w:hAnsi="宋体"/>
                <w:bCs/>
                <w:sz w:val="24"/>
                <w:szCs w:val="24"/>
              </w:rPr>
              <w:t>第二个行权期</w:t>
            </w:r>
          </w:p>
        </w:tc>
        <w:tc>
          <w:tcPr>
            <w:tcW w:w="7117" w:type="dxa"/>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2018年净利润基于2015年年均增长率≥3.2%（对应绝对值为105.07亿元）；</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净资产收益率≥15%；</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且上述指标都≥对标企业平均水平，且≥对标企业75分位；</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△EVA为正；</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主营业务收入占营业收入的比例≥95%。</w:t>
            </w:r>
          </w:p>
        </w:tc>
      </w:tr>
      <w:tr w:rsidR="003F062C" w:rsidRPr="003F062C" w:rsidTr="00184078">
        <w:trPr>
          <w:trHeight w:val="561"/>
          <w:jc w:val="center"/>
        </w:trPr>
        <w:tc>
          <w:tcPr>
            <w:tcW w:w="1824" w:type="dxa"/>
            <w:vAlign w:val="center"/>
          </w:tcPr>
          <w:p w:rsidR="003F062C" w:rsidRPr="003F062C" w:rsidRDefault="003F062C" w:rsidP="00184078">
            <w:pPr>
              <w:autoSpaceDE w:val="0"/>
              <w:autoSpaceDN w:val="0"/>
              <w:adjustRightInd w:val="0"/>
              <w:jc w:val="center"/>
              <w:rPr>
                <w:rFonts w:ascii="宋体" w:hAnsi="宋体"/>
                <w:bCs/>
                <w:sz w:val="24"/>
                <w:szCs w:val="24"/>
              </w:rPr>
            </w:pPr>
            <w:r w:rsidRPr="003F062C">
              <w:rPr>
                <w:rFonts w:ascii="宋体" w:hAnsi="宋体"/>
                <w:bCs/>
                <w:sz w:val="24"/>
                <w:szCs w:val="24"/>
              </w:rPr>
              <w:t>第三个行权期</w:t>
            </w:r>
          </w:p>
        </w:tc>
        <w:tc>
          <w:tcPr>
            <w:tcW w:w="7117" w:type="dxa"/>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2019年净利润基于2015年年均增长率≥3.2%（对应绝对值为108.44亿元）；净资产收益率≥15%；</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且上述指标都≥对标企业平均水平，且≥对标企业75分位；</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△EVA为正；</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主营业务收入占营业收入的比例≥95%。</w:t>
            </w:r>
          </w:p>
        </w:tc>
      </w:tr>
    </w:tbl>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以上“净利润”与“净资产收益率”指标计算均以扣除非经常性损益后的净利润和加权平均净资产作为计算依据。</w:t>
      </w:r>
    </w:p>
    <w:p w:rsidR="003F062C" w:rsidRPr="003F062C" w:rsidRDefault="003F062C" w:rsidP="003F062C">
      <w:pPr>
        <w:spacing w:line="420" w:lineRule="exact"/>
        <w:ind w:firstLine="480"/>
        <w:rPr>
          <w:rFonts w:ascii="宋体" w:hAnsi="宋体"/>
          <w:b/>
          <w:sz w:val="24"/>
          <w:szCs w:val="24"/>
        </w:rPr>
      </w:pPr>
      <w:r w:rsidRPr="003F062C">
        <w:rPr>
          <w:rFonts w:ascii="宋体" w:hAnsi="宋体" w:hint="eastAsia"/>
          <w:b/>
          <w:sz w:val="24"/>
          <w:szCs w:val="24"/>
        </w:rPr>
        <w:t>二、公司股票期权激励计划实施情况</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1、公司于2016年3月30日分别召开了第七届董事会第二次会议和第七届监事会第二次会议，审议通过了《重庆长安汽车股份有限公司股票期权激励计划（草案）》及其摘要等议案，公司独立董事对此发表了独立意见。其后公司向国务院国有资产监督管理委员会(以下简称“国资委”)上报了申请材料。</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2、2016年8月2日，公司收到实际控制人中国兵器装备集团公司转发的国资委《关于重庆长安汽车股份有限公司实施股票期权激励计划的批复》(国资分配[2016]734号)，国资委原则同意公司实施A股股票期权激励计划。</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3、2016年8月12日，根据国资委的反馈意见，公司第七届董事会第九次会议和第七届监事会第六次会议，审议通过了《重庆长安汽车股份有限公司股票期权激励计划（草案修订稿）》及其摘要等议案，公司独立董事对此发表了独立意见。</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4、2016年8月30日，公司根据中国证监会最新颁布的《上市公司股权激励管理办法》，依照相关规定将公司股权激励计划授予的股票期权的行权价格调整为14.12元。</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5、2016年8月31日，公司召开2016年度第五次临时股东大会审议通过了《重庆长安汽车股份有限公司股票期权激励计划（草案修订稿）》及其摘要、《重庆长安汽车股份有限公司股票期权激励计划实施考核管理办法（修订稿）》、《关于提请股东大会授权董事会办理公司股票期权激励计划相关事宜的议案》以及《关于公司股票期权激励计划（草案修订稿）涉及关联交易事项的议案》。董事会被</w:t>
      </w:r>
      <w:r w:rsidRPr="003F062C">
        <w:rPr>
          <w:rFonts w:ascii="宋体" w:hAnsi="宋体" w:hint="eastAsia"/>
          <w:sz w:val="24"/>
          <w:szCs w:val="24"/>
        </w:rPr>
        <w:lastRenderedPageBreak/>
        <w:t>授权确定股票期权授予日及在公司激励对象符合条件时向激励对象授予股票期权，并办理授予股票期权所必须的全部事宜。</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6、公司于2016年9月23日分别召开第七届董事会第十二次会议和第七届监事会第八次会议，审议通过了《关于向激励对象授予股票期权的议案》。公司独立董事对此发表了独立意见，认为激励对象主体资格确认办法合法有效，确定的授权日符合相关规定。</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7、2016年10月19日，公司完成了股票期权激励计划的期权授予登记工作，向激励对象202人授予2914万份股票期权。期权简称：长安JLC1，期权代码：037046。</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8、2017年6月22日</w:t>
      </w:r>
      <w:r w:rsidRPr="003F062C">
        <w:rPr>
          <w:rFonts w:ascii="宋体" w:hAnsi="宋体"/>
          <w:sz w:val="24"/>
          <w:szCs w:val="24"/>
        </w:rPr>
        <w:t>，公司根据</w:t>
      </w:r>
      <w:r w:rsidRPr="003F062C">
        <w:rPr>
          <w:rFonts w:ascii="宋体" w:hAnsi="宋体" w:hint="eastAsia"/>
          <w:sz w:val="24"/>
          <w:szCs w:val="24"/>
        </w:rPr>
        <w:t>《2016年</w:t>
      </w:r>
      <w:r w:rsidRPr="003F062C">
        <w:rPr>
          <w:rFonts w:ascii="宋体" w:hAnsi="宋体"/>
          <w:sz w:val="24"/>
          <w:szCs w:val="24"/>
        </w:rPr>
        <w:t>年度权益分派实施</w:t>
      </w:r>
      <w:r w:rsidRPr="003F062C">
        <w:rPr>
          <w:rFonts w:ascii="宋体" w:hAnsi="宋体" w:hint="eastAsia"/>
          <w:sz w:val="24"/>
          <w:szCs w:val="24"/>
        </w:rPr>
        <w:t>公告》，依照相关规定将公司股权激励计划授予的股票期权的行权价格调整为</w:t>
      </w:r>
      <w:r w:rsidRPr="003F062C">
        <w:rPr>
          <w:rFonts w:ascii="宋体" w:hAnsi="宋体"/>
          <w:sz w:val="24"/>
          <w:szCs w:val="24"/>
        </w:rPr>
        <w:t>13.478</w:t>
      </w:r>
      <w:r w:rsidRPr="003F062C">
        <w:rPr>
          <w:rFonts w:ascii="宋体" w:hAnsi="宋体" w:hint="eastAsia"/>
          <w:sz w:val="24"/>
          <w:szCs w:val="24"/>
        </w:rPr>
        <w:t>元。</w:t>
      </w:r>
    </w:p>
    <w:p w:rsidR="003F062C" w:rsidRPr="003F062C" w:rsidRDefault="003F062C" w:rsidP="003F062C">
      <w:pPr>
        <w:spacing w:line="420" w:lineRule="exact"/>
        <w:ind w:firstLine="480"/>
        <w:rPr>
          <w:rFonts w:ascii="宋体" w:hAnsi="宋体"/>
          <w:b/>
          <w:sz w:val="24"/>
          <w:szCs w:val="24"/>
        </w:rPr>
      </w:pPr>
      <w:r w:rsidRPr="003F062C">
        <w:rPr>
          <w:rFonts w:ascii="宋体" w:hAnsi="宋体" w:hint="eastAsia"/>
          <w:b/>
          <w:sz w:val="24"/>
          <w:szCs w:val="24"/>
        </w:rPr>
        <w:t>三</w:t>
      </w:r>
      <w:r w:rsidRPr="003F062C">
        <w:rPr>
          <w:rFonts w:ascii="宋体" w:hAnsi="宋体"/>
          <w:b/>
          <w:sz w:val="24"/>
          <w:szCs w:val="24"/>
        </w:rPr>
        <w:t>、</w:t>
      </w:r>
      <w:r w:rsidRPr="003F062C">
        <w:rPr>
          <w:rFonts w:ascii="宋体" w:hAnsi="宋体" w:hint="eastAsia"/>
          <w:b/>
          <w:sz w:val="24"/>
          <w:szCs w:val="24"/>
        </w:rPr>
        <w:t>本次注销情况</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1、公司股票期权激励计划第一个行权期的业绩考核目标及实际达成情况如下：</w:t>
      </w:r>
    </w:p>
    <w:tbl>
      <w:tblPr>
        <w:tblW w:w="91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196"/>
        <w:gridCol w:w="4011"/>
        <w:gridCol w:w="3931"/>
      </w:tblGrid>
      <w:tr w:rsidR="003F062C" w:rsidRPr="003F062C" w:rsidTr="004C66B1">
        <w:trPr>
          <w:trHeight w:val="567"/>
          <w:jc w:val="center"/>
        </w:trPr>
        <w:tc>
          <w:tcPr>
            <w:tcW w:w="1196" w:type="dxa"/>
            <w:shd w:val="clear" w:color="auto" w:fill="BFBFBF"/>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行权期</w:t>
            </w:r>
          </w:p>
        </w:tc>
        <w:tc>
          <w:tcPr>
            <w:tcW w:w="4011" w:type="dxa"/>
            <w:shd w:val="clear" w:color="auto" w:fill="BFBFBF"/>
            <w:vAlign w:val="center"/>
          </w:tcPr>
          <w:p w:rsidR="003F062C" w:rsidRPr="003F062C" w:rsidRDefault="003F062C" w:rsidP="00184078">
            <w:pPr>
              <w:jc w:val="center"/>
              <w:rPr>
                <w:rFonts w:ascii="宋体" w:hAnsi="宋体"/>
                <w:b/>
                <w:sz w:val="24"/>
                <w:szCs w:val="24"/>
              </w:rPr>
            </w:pPr>
            <w:r w:rsidRPr="003F062C">
              <w:rPr>
                <w:rFonts w:ascii="宋体" w:hAnsi="宋体"/>
                <w:b/>
                <w:sz w:val="24"/>
                <w:szCs w:val="24"/>
              </w:rPr>
              <w:t>业绩考核目标</w:t>
            </w:r>
          </w:p>
        </w:tc>
        <w:tc>
          <w:tcPr>
            <w:tcW w:w="3931" w:type="dxa"/>
            <w:shd w:val="clear" w:color="auto" w:fill="BFBFBF"/>
          </w:tcPr>
          <w:p w:rsidR="003F062C" w:rsidRPr="003F062C" w:rsidRDefault="003F062C" w:rsidP="00184078">
            <w:pPr>
              <w:jc w:val="center"/>
              <w:rPr>
                <w:rFonts w:ascii="宋体" w:hAnsi="宋体"/>
                <w:b/>
                <w:sz w:val="24"/>
                <w:szCs w:val="24"/>
              </w:rPr>
            </w:pPr>
            <w:r w:rsidRPr="003F062C">
              <w:rPr>
                <w:rFonts w:ascii="宋体" w:hAnsi="宋体" w:hint="eastAsia"/>
                <w:b/>
                <w:sz w:val="24"/>
                <w:szCs w:val="24"/>
              </w:rPr>
              <w:t>实际</w:t>
            </w:r>
            <w:r w:rsidRPr="003F062C">
              <w:rPr>
                <w:rFonts w:ascii="宋体" w:hAnsi="宋体"/>
                <w:b/>
                <w:sz w:val="24"/>
                <w:szCs w:val="24"/>
              </w:rPr>
              <w:t>达成情况</w:t>
            </w:r>
          </w:p>
        </w:tc>
      </w:tr>
      <w:tr w:rsidR="003F062C" w:rsidRPr="003F062C" w:rsidTr="009016CE">
        <w:trPr>
          <w:trHeight w:val="578"/>
          <w:jc w:val="center"/>
        </w:trPr>
        <w:tc>
          <w:tcPr>
            <w:tcW w:w="1196" w:type="dxa"/>
            <w:vAlign w:val="center"/>
          </w:tcPr>
          <w:p w:rsidR="003F062C" w:rsidRPr="003F062C" w:rsidRDefault="003F062C" w:rsidP="00184078">
            <w:pPr>
              <w:autoSpaceDE w:val="0"/>
              <w:autoSpaceDN w:val="0"/>
              <w:adjustRightInd w:val="0"/>
              <w:jc w:val="center"/>
              <w:rPr>
                <w:rFonts w:ascii="宋体" w:hAnsi="宋体"/>
                <w:bCs/>
                <w:sz w:val="24"/>
                <w:szCs w:val="24"/>
              </w:rPr>
            </w:pPr>
            <w:r w:rsidRPr="003F062C">
              <w:rPr>
                <w:rFonts w:ascii="宋体" w:hAnsi="宋体"/>
                <w:bCs/>
                <w:sz w:val="24"/>
                <w:szCs w:val="24"/>
              </w:rPr>
              <w:t>第一个行权期</w:t>
            </w:r>
          </w:p>
        </w:tc>
        <w:tc>
          <w:tcPr>
            <w:tcW w:w="4011" w:type="dxa"/>
            <w:vAlign w:val="center"/>
          </w:tcPr>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2017年净利润基于2015年年均增长率≥3.2%（对应绝对值为101.82亿元）；净资产收益率≥15%；</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且上述指标都≥对标企业平均水平，且≥对标企业75分位；</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△EVA为正；</w:t>
            </w:r>
          </w:p>
          <w:p w:rsidR="003F062C" w:rsidRPr="003F062C" w:rsidRDefault="003F062C" w:rsidP="00184078">
            <w:pPr>
              <w:autoSpaceDE w:val="0"/>
              <w:autoSpaceDN w:val="0"/>
              <w:adjustRightInd w:val="0"/>
              <w:jc w:val="left"/>
              <w:rPr>
                <w:rFonts w:ascii="宋体" w:hAnsi="宋体"/>
                <w:bCs/>
                <w:sz w:val="24"/>
                <w:szCs w:val="24"/>
              </w:rPr>
            </w:pPr>
            <w:r w:rsidRPr="003F062C">
              <w:rPr>
                <w:rFonts w:ascii="宋体" w:hAnsi="宋体" w:hint="eastAsia"/>
                <w:bCs/>
                <w:sz w:val="24"/>
                <w:szCs w:val="24"/>
              </w:rPr>
              <w:t>主营业务收入占营业收入的比例≥95%。</w:t>
            </w:r>
          </w:p>
        </w:tc>
        <w:tc>
          <w:tcPr>
            <w:tcW w:w="3931" w:type="dxa"/>
            <w:vAlign w:val="center"/>
          </w:tcPr>
          <w:p w:rsidR="003F062C" w:rsidRPr="003F062C" w:rsidRDefault="003F062C" w:rsidP="009016CE">
            <w:pPr>
              <w:autoSpaceDE w:val="0"/>
              <w:autoSpaceDN w:val="0"/>
              <w:adjustRightInd w:val="0"/>
              <w:rPr>
                <w:rFonts w:ascii="宋体" w:hAnsi="宋体"/>
                <w:bCs/>
                <w:sz w:val="24"/>
                <w:szCs w:val="24"/>
              </w:rPr>
            </w:pPr>
            <w:r w:rsidRPr="003F062C">
              <w:rPr>
                <w:rFonts w:ascii="宋体" w:hAnsi="宋体" w:hint="eastAsia"/>
                <w:bCs/>
                <w:sz w:val="24"/>
                <w:szCs w:val="24"/>
              </w:rPr>
              <w:t>2017年净利润：57.16亿元，较2015年下降40.21%，低于绝对值101.82亿元</w:t>
            </w:r>
            <w:r w:rsidR="008F433E">
              <w:rPr>
                <w:rFonts w:ascii="宋体" w:hAnsi="宋体" w:hint="eastAsia"/>
                <w:bCs/>
                <w:sz w:val="24"/>
                <w:szCs w:val="24"/>
              </w:rPr>
              <w:t>；</w:t>
            </w:r>
          </w:p>
          <w:p w:rsidR="003F062C" w:rsidRPr="003F062C" w:rsidRDefault="003F062C" w:rsidP="009016CE">
            <w:pPr>
              <w:autoSpaceDE w:val="0"/>
              <w:autoSpaceDN w:val="0"/>
              <w:adjustRightInd w:val="0"/>
              <w:rPr>
                <w:rFonts w:ascii="宋体" w:hAnsi="宋体"/>
                <w:bCs/>
                <w:sz w:val="24"/>
                <w:szCs w:val="24"/>
              </w:rPr>
            </w:pPr>
            <w:r w:rsidRPr="003F062C">
              <w:rPr>
                <w:rFonts w:ascii="宋体" w:hAnsi="宋体" w:hint="eastAsia"/>
                <w:bCs/>
                <w:sz w:val="24"/>
                <w:szCs w:val="24"/>
              </w:rPr>
              <w:t>净资产收益率（</w:t>
            </w:r>
            <w:r w:rsidR="008C5EF8">
              <w:rPr>
                <w:rFonts w:ascii="宋体" w:hAnsi="宋体"/>
                <w:bCs/>
                <w:sz w:val="24"/>
                <w:szCs w:val="24"/>
              </w:rPr>
              <w:t>12.53</w:t>
            </w:r>
            <w:r w:rsidRPr="003F062C">
              <w:rPr>
                <w:rFonts w:ascii="宋体" w:hAnsi="宋体" w:hint="eastAsia"/>
                <w:bCs/>
                <w:sz w:val="24"/>
                <w:szCs w:val="24"/>
              </w:rPr>
              <w:t>%）</w:t>
            </w:r>
            <w:r w:rsidR="008C5EF8">
              <w:rPr>
                <w:rFonts w:ascii="仿宋" w:eastAsia="仿宋" w:hAnsi="仿宋" w:hint="eastAsia"/>
                <w:bCs/>
                <w:sz w:val="28"/>
                <w:szCs w:val="28"/>
              </w:rPr>
              <w:t>&lt;</w:t>
            </w:r>
            <w:r w:rsidRPr="003F062C">
              <w:rPr>
                <w:rFonts w:ascii="宋体" w:hAnsi="宋体" w:hint="eastAsia"/>
                <w:bCs/>
                <w:sz w:val="24"/>
                <w:szCs w:val="24"/>
              </w:rPr>
              <w:t>15%</w:t>
            </w:r>
            <w:r w:rsidR="008F433E">
              <w:rPr>
                <w:rFonts w:ascii="宋体" w:hAnsi="宋体" w:hint="eastAsia"/>
                <w:bCs/>
                <w:sz w:val="24"/>
                <w:szCs w:val="24"/>
              </w:rPr>
              <w:t>。</w:t>
            </w:r>
          </w:p>
          <w:p w:rsidR="003F062C" w:rsidRPr="003F062C" w:rsidRDefault="003F062C" w:rsidP="009016CE">
            <w:pPr>
              <w:autoSpaceDE w:val="0"/>
              <w:autoSpaceDN w:val="0"/>
              <w:adjustRightInd w:val="0"/>
              <w:rPr>
                <w:rFonts w:ascii="宋体" w:hAnsi="宋体"/>
                <w:b/>
                <w:sz w:val="24"/>
                <w:szCs w:val="24"/>
              </w:rPr>
            </w:pPr>
          </w:p>
        </w:tc>
      </w:tr>
    </w:tbl>
    <w:p w:rsidR="0015040B" w:rsidRPr="0015040B" w:rsidRDefault="0015040B" w:rsidP="0015040B">
      <w:pPr>
        <w:spacing w:line="420" w:lineRule="exact"/>
        <w:ind w:firstLine="480"/>
        <w:rPr>
          <w:rFonts w:ascii="宋体" w:hAnsi="宋体"/>
          <w:sz w:val="24"/>
          <w:szCs w:val="24"/>
        </w:rPr>
      </w:pPr>
      <w:r w:rsidRPr="003F062C">
        <w:rPr>
          <w:rFonts w:ascii="宋体" w:hAnsi="宋体" w:hint="eastAsia"/>
          <w:sz w:val="24"/>
          <w:szCs w:val="24"/>
        </w:rPr>
        <w:t>以上“净利润”与“净资产收益率”指标计算均以扣除非经常性损益后的净利润和加权平均净资产作为计算依据。</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公司2017年度业绩考核不达标，根据《股票期权激励计划（草案修订稿）》关于业绩不达标的规定：行权条件未达成，则公司按照本计划，激励对象所获期权当期可行权份额注销，拟注销相应股票期权971.33万份。</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2、</w:t>
      </w:r>
      <w:r w:rsidRPr="003F062C">
        <w:rPr>
          <w:rFonts w:ascii="宋体" w:hAnsi="宋体"/>
          <w:sz w:val="24"/>
          <w:szCs w:val="24"/>
        </w:rPr>
        <w:t>截止</w:t>
      </w:r>
      <w:r w:rsidRPr="003F062C">
        <w:rPr>
          <w:rFonts w:ascii="宋体" w:hAnsi="宋体" w:hint="eastAsia"/>
          <w:sz w:val="24"/>
          <w:szCs w:val="24"/>
        </w:rPr>
        <w:t>2018年3月31日</w:t>
      </w:r>
      <w:r w:rsidRPr="003F062C">
        <w:rPr>
          <w:rFonts w:ascii="宋体" w:hAnsi="宋体"/>
          <w:sz w:val="24"/>
          <w:szCs w:val="24"/>
        </w:rPr>
        <w:t>，公司共有</w:t>
      </w:r>
      <w:r w:rsidRPr="003F062C">
        <w:rPr>
          <w:rFonts w:ascii="宋体" w:hAnsi="宋体" w:hint="eastAsia"/>
          <w:sz w:val="24"/>
          <w:szCs w:val="24"/>
        </w:rPr>
        <w:t>王锟</w:t>
      </w:r>
      <w:r w:rsidRPr="003F062C">
        <w:rPr>
          <w:rFonts w:ascii="宋体" w:hAnsi="宋体"/>
          <w:sz w:val="24"/>
          <w:szCs w:val="24"/>
        </w:rPr>
        <w:t>、</w:t>
      </w:r>
      <w:r w:rsidRPr="003F062C">
        <w:rPr>
          <w:rFonts w:ascii="宋体" w:hAnsi="宋体" w:hint="eastAsia"/>
          <w:sz w:val="24"/>
          <w:szCs w:val="24"/>
        </w:rPr>
        <w:t>杜毅</w:t>
      </w:r>
      <w:r w:rsidRPr="003F062C">
        <w:rPr>
          <w:rFonts w:ascii="宋体" w:hAnsi="宋体"/>
          <w:sz w:val="24"/>
          <w:szCs w:val="24"/>
        </w:rPr>
        <w:t>、</w:t>
      </w:r>
      <w:r w:rsidRPr="003F062C">
        <w:rPr>
          <w:rFonts w:ascii="宋体" w:hAnsi="宋体" w:hint="eastAsia"/>
          <w:sz w:val="24"/>
          <w:szCs w:val="24"/>
        </w:rPr>
        <w:t>张</w:t>
      </w:r>
      <w:r w:rsidRPr="003F062C">
        <w:rPr>
          <w:rFonts w:ascii="宋体" w:hAnsi="宋体"/>
          <w:sz w:val="24"/>
          <w:szCs w:val="24"/>
        </w:rPr>
        <w:t>再春、刘杨胜、袁光建等</w:t>
      </w:r>
      <w:r w:rsidRPr="003F062C">
        <w:rPr>
          <w:rFonts w:ascii="宋体" w:hAnsi="宋体" w:hint="eastAsia"/>
          <w:sz w:val="24"/>
          <w:szCs w:val="24"/>
        </w:rPr>
        <w:t>1</w:t>
      </w:r>
      <w:r w:rsidRPr="003F062C">
        <w:rPr>
          <w:rFonts w:ascii="宋体" w:hAnsi="宋体"/>
          <w:sz w:val="24"/>
          <w:szCs w:val="24"/>
        </w:rPr>
        <w:t>2</w:t>
      </w:r>
      <w:r w:rsidRPr="003F062C">
        <w:rPr>
          <w:rFonts w:ascii="宋体" w:hAnsi="宋体" w:hint="eastAsia"/>
          <w:sz w:val="24"/>
          <w:szCs w:val="24"/>
        </w:rPr>
        <w:t>名激励</w:t>
      </w:r>
      <w:r w:rsidRPr="003F062C">
        <w:rPr>
          <w:rFonts w:ascii="宋体" w:hAnsi="宋体"/>
          <w:sz w:val="24"/>
          <w:szCs w:val="24"/>
        </w:rPr>
        <w:t>对象因离职等原因，已不再满足成</w:t>
      </w:r>
      <w:r w:rsidRPr="003F062C">
        <w:rPr>
          <w:rFonts w:ascii="宋体" w:hAnsi="宋体" w:hint="eastAsia"/>
          <w:sz w:val="24"/>
          <w:szCs w:val="24"/>
        </w:rPr>
        <w:t>为公司股权激励对象的条件，按规定取消激励资格，同时注销离职人员第2、3批的股票期权总数为111.33万份。</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综上，公司董事会拟注销相应股票期权</w:t>
      </w:r>
      <w:r w:rsidRPr="003F062C">
        <w:rPr>
          <w:rFonts w:ascii="宋体" w:hAnsi="宋体"/>
          <w:sz w:val="24"/>
          <w:szCs w:val="24"/>
        </w:rPr>
        <w:t>1,082.66</w:t>
      </w:r>
      <w:r w:rsidRPr="003F062C">
        <w:rPr>
          <w:rFonts w:ascii="宋体" w:hAnsi="宋体" w:hint="eastAsia"/>
          <w:sz w:val="24"/>
          <w:szCs w:val="24"/>
        </w:rPr>
        <w:t>万份。</w:t>
      </w:r>
    </w:p>
    <w:p w:rsidR="003F062C" w:rsidRPr="003F062C" w:rsidRDefault="003F062C" w:rsidP="003F062C">
      <w:pPr>
        <w:spacing w:line="420" w:lineRule="exact"/>
        <w:ind w:firstLine="480"/>
        <w:rPr>
          <w:rFonts w:ascii="宋体" w:hAnsi="宋体"/>
          <w:b/>
          <w:sz w:val="24"/>
          <w:szCs w:val="24"/>
        </w:rPr>
      </w:pPr>
      <w:r w:rsidRPr="003F062C">
        <w:rPr>
          <w:rFonts w:ascii="宋体" w:hAnsi="宋体" w:hint="eastAsia"/>
          <w:b/>
          <w:sz w:val="24"/>
          <w:szCs w:val="24"/>
        </w:rPr>
        <w:t>四、公司本次注销部分期权对公司的影响</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1.由于公司2017年度业绩考核未达到第一个行权期的业绩考核目标，公司无需确认第一个行权期的股权激励费用，并对已经确认的股份期权费用予以冲</w:t>
      </w:r>
      <w:r w:rsidR="00D4710E">
        <w:rPr>
          <w:rFonts w:ascii="宋体" w:hAnsi="宋体" w:hint="eastAsia"/>
          <w:sz w:val="24"/>
          <w:szCs w:val="24"/>
        </w:rPr>
        <w:t>回</w:t>
      </w:r>
      <w:r w:rsidRPr="003F062C">
        <w:rPr>
          <w:rFonts w:ascii="宋体" w:hAnsi="宋体" w:hint="eastAsia"/>
          <w:sz w:val="24"/>
          <w:szCs w:val="24"/>
        </w:rPr>
        <w:t>。2016.9-2017.12予以</w:t>
      </w:r>
      <w:r w:rsidR="00D4710E" w:rsidRPr="003F062C">
        <w:rPr>
          <w:rFonts w:ascii="宋体" w:hAnsi="宋体" w:hint="eastAsia"/>
          <w:sz w:val="24"/>
          <w:szCs w:val="24"/>
        </w:rPr>
        <w:t>冲</w:t>
      </w:r>
      <w:r w:rsidR="00D4710E">
        <w:rPr>
          <w:rFonts w:ascii="宋体" w:hAnsi="宋体" w:hint="eastAsia"/>
          <w:sz w:val="24"/>
          <w:szCs w:val="24"/>
        </w:rPr>
        <w:t>回</w:t>
      </w:r>
      <w:r w:rsidRPr="003F062C">
        <w:rPr>
          <w:rFonts w:ascii="宋体" w:hAnsi="宋体" w:hint="eastAsia"/>
          <w:sz w:val="24"/>
          <w:szCs w:val="24"/>
        </w:rPr>
        <w:t>的股份期权费用总额为2,958.50万元。</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2.激励对象因离职放弃行权对2016.9-2017.12已确认的第2、3批的股份期权费用予以</w:t>
      </w:r>
      <w:r w:rsidR="00D4710E" w:rsidRPr="003F062C">
        <w:rPr>
          <w:rFonts w:ascii="宋体" w:hAnsi="宋体" w:hint="eastAsia"/>
          <w:sz w:val="24"/>
          <w:szCs w:val="24"/>
        </w:rPr>
        <w:t>冲</w:t>
      </w:r>
      <w:r w:rsidR="00D4710E">
        <w:rPr>
          <w:rFonts w:ascii="宋体" w:hAnsi="宋体" w:hint="eastAsia"/>
          <w:sz w:val="24"/>
          <w:szCs w:val="24"/>
        </w:rPr>
        <w:t>回</w:t>
      </w:r>
      <w:r w:rsidRPr="003F062C">
        <w:rPr>
          <w:rFonts w:ascii="宋体" w:hAnsi="宋体" w:hint="eastAsia"/>
          <w:sz w:val="24"/>
          <w:szCs w:val="24"/>
        </w:rPr>
        <w:t>，金额为197.</w:t>
      </w:r>
      <w:r w:rsidRPr="003F062C">
        <w:rPr>
          <w:rFonts w:ascii="宋体" w:hAnsi="宋体"/>
          <w:sz w:val="24"/>
          <w:szCs w:val="24"/>
        </w:rPr>
        <w:t>9</w:t>
      </w:r>
      <w:r w:rsidRPr="003F062C">
        <w:rPr>
          <w:rFonts w:ascii="宋体" w:hAnsi="宋体" w:hint="eastAsia"/>
          <w:sz w:val="24"/>
          <w:szCs w:val="24"/>
        </w:rPr>
        <w:t>万元。</w:t>
      </w:r>
      <w:r w:rsidR="00D4710E">
        <w:rPr>
          <w:rFonts w:ascii="宋体" w:hAnsi="宋体" w:hint="eastAsia"/>
          <w:sz w:val="24"/>
          <w:szCs w:val="24"/>
        </w:rPr>
        <w:t xml:space="preserve"> </w:t>
      </w:r>
      <w:bookmarkStart w:id="0" w:name="_GoBack"/>
      <w:bookmarkEnd w:id="0"/>
    </w:p>
    <w:p w:rsid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lastRenderedPageBreak/>
        <w:t>上述期权的注销不会对公司财务状况和经营成果产生重大影响，也不会影响公司经营团队勤勉尽责，公司管理团队将继续认真履行职责，尽全力为股东创造价值。</w:t>
      </w:r>
    </w:p>
    <w:p w:rsidR="00F60FBE" w:rsidRDefault="00F60FBE" w:rsidP="00F60FBE">
      <w:pPr>
        <w:spacing w:line="360" w:lineRule="auto"/>
        <w:ind w:firstLineChars="200" w:firstLine="518"/>
        <w:rPr>
          <w:rFonts w:ascii="宋体" w:hAnsi="宋体"/>
          <w:b/>
          <w:sz w:val="24"/>
          <w:szCs w:val="24"/>
        </w:rPr>
      </w:pPr>
      <w:r>
        <w:rPr>
          <w:rFonts w:ascii="宋体" w:hAnsi="宋体" w:hint="eastAsia"/>
          <w:b/>
          <w:sz w:val="24"/>
          <w:szCs w:val="24"/>
        </w:rPr>
        <w:t>五</w:t>
      </w:r>
      <w:r>
        <w:rPr>
          <w:rFonts w:ascii="宋体" w:hAnsi="宋体"/>
          <w:b/>
          <w:sz w:val="24"/>
          <w:szCs w:val="24"/>
        </w:rPr>
        <w:t>、</w:t>
      </w:r>
      <w:r>
        <w:rPr>
          <w:rFonts w:ascii="宋体" w:hAnsi="宋体" w:hint="eastAsia"/>
          <w:b/>
          <w:sz w:val="24"/>
          <w:szCs w:val="24"/>
        </w:rPr>
        <w:t>薪酬与考核委员会</w:t>
      </w:r>
      <w:r>
        <w:rPr>
          <w:rFonts w:ascii="宋体" w:hAnsi="宋体"/>
          <w:b/>
          <w:sz w:val="24"/>
          <w:szCs w:val="24"/>
        </w:rPr>
        <w:t>意见</w:t>
      </w:r>
    </w:p>
    <w:p w:rsidR="00F60FBE" w:rsidRPr="00F60FBE" w:rsidRDefault="00F60FBE" w:rsidP="00F60FBE">
      <w:pPr>
        <w:spacing w:line="360" w:lineRule="auto"/>
        <w:ind w:firstLineChars="200" w:firstLine="496"/>
        <w:rPr>
          <w:rFonts w:ascii="宋体" w:hAnsi="宋体"/>
          <w:b/>
          <w:sz w:val="24"/>
          <w:szCs w:val="24"/>
        </w:rPr>
      </w:pPr>
      <w:r>
        <w:rPr>
          <w:rFonts w:hint="eastAsia"/>
          <w:sz w:val="23"/>
          <w:szCs w:val="23"/>
        </w:rPr>
        <w:t>公司</w:t>
      </w:r>
      <w:r w:rsidRPr="0037104C">
        <w:rPr>
          <w:rFonts w:ascii="宋体" w:hAnsi="宋体" w:hint="eastAsia"/>
          <w:sz w:val="24"/>
          <w:szCs w:val="24"/>
        </w:rPr>
        <w:t>《关于</w:t>
      </w:r>
      <w:r w:rsidRPr="00090537">
        <w:rPr>
          <w:rFonts w:ascii="宋体" w:hAnsi="宋体" w:hint="eastAsia"/>
          <w:sz w:val="24"/>
          <w:szCs w:val="24"/>
        </w:rPr>
        <w:t>注销公司部分股票期权</w:t>
      </w:r>
      <w:r w:rsidRPr="0037104C">
        <w:rPr>
          <w:rFonts w:ascii="宋体" w:hAnsi="宋体" w:hint="eastAsia"/>
          <w:sz w:val="24"/>
          <w:szCs w:val="24"/>
        </w:rPr>
        <w:t>的议案》</w:t>
      </w:r>
      <w:r>
        <w:rPr>
          <w:rFonts w:ascii="宋体" w:hAnsi="宋体" w:hint="eastAsia"/>
          <w:sz w:val="24"/>
          <w:szCs w:val="24"/>
        </w:rPr>
        <w:t>在提交董事会前，已经过</w:t>
      </w:r>
      <w:r>
        <w:rPr>
          <w:rFonts w:hint="eastAsia"/>
          <w:sz w:val="23"/>
          <w:szCs w:val="23"/>
        </w:rPr>
        <w:t>薪酬与考核委员会审议，并同意提交董事会审批。</w:t>
      </w:r>
    </w:p>
    <w:p w:rsidR="00A16AC3" w:rsidRDefault="00F60FBE" w:rsidP="00B27030">
      <w:pPr>
        <w:spacing w:line="360" w:lineRule="auto"/>
        <w:ind w:firstLineChars="200" w:firstLine="518"/>
        <w:rPr>
          <w:rFonts w:ascii="宋体" w:hAnsi="宋体"/>
          <w:b/>
          <w:sz w:val="24"/>
          <w:szCs w:val="24"/>
        </w:rPr>
      </w:pPr>
      <w:r>
        <w:rPr>
          <w:rFonts w:ascii="宋体" w:hAnsi="宋体" w:hint="eastAsia"/>
          <w:b/>
          <w:sz w:val="24"/>
          <w:szCs w:val="24"/>
        </w:rPr>
        <w:t>六</w:t>
      </w:r>
      <w:r w:rsidR="00F76A09">
        <w:rPr>
          <w:rFonts w:ascii="宋体" w:hAnsi="宋体"/>
          <w:b/>
          <w:sz w:val="24"/>
          <w:szCs w:val="24"/>
        </w:rPr>
        <w:t>、独立董事意见</w:t>
      </w:r>
    </w:p>
    <w:p w:rsidR="008770B2" w:rsidRDefault="00072642" w:rsidP="00B27030">
      <w:pPr>
        <w:spacing w:line="360" w:lineRule="auto"/>
        <w:ind w:firstLineChars="200" w:firstLine="496"/>
        <w:rPr>
          <w:rFonts w:ascii="宋体" w:hAnsi="宋体"/>
          <w:b/>
          <w:sz w:val="24"/>
          <w:szCs w:val="24"/>
        </w:rPr>
      </w:pPr>
      <w:r>
        <w:rPr>
          <w:rFonts w:hint="eastAsia"/>
          <w:sz w:val="23"/>
          <w:szCs w:val="23"/>
        </w:rPr>
        <w:t>经核查，我们认为：</w:t>
      </w:r>
      <w:r w:rsidRPr="00072642">
        <w:rPr>
          <w:rFonts w:hint="eastAsia"/>
          <w:sz w:val="23"/>
          <w:szCs w:val="23"/>
        </w:rPr>
        <w:t>公</w:t>
      </w:r>
      <w:r w:rsidR="00AE2684">
        <w:rPr>
          <w:rFonts w:hint="eastAsia"/>
          <w:sz w:val="23"/>
          <w:szCs w:val="23"/>
        </w:rPr>
        <w:t>司此次对股票期权予以注销的事项符合《上市公司股权激励管理办法》</w:t>
      </w:r>
      <w:r w:rsidRPr="00072642">
        <w:rPr>
          <w:rFonts w:hint="eastAsia"/>
          <w:sz w:val="23"/>
          <w:szCs w:val="23"/>
        </w:rPr>
        <w:t>及公司《股票期权激励计划（草案修订稿）》中关于股票期权注销的规定，不会对公司的财务状况和经营成果产生实质性影响，不存在损害公司及全体股东利益的情形，因此，我们同意公司注销该部分股票期权。</w:t>
      </w:r>
    </w:p>
    <w:p w:rsidR="00F76A09" w:rsidRDefault="00F60FBE" w:rsidP="00B27030">
      <w:pPr>
        <w:spacing w:line="360" w:lineRule="auto"/>
        <w:ind w:firstLineChars="200" w:firstLine="518"/>
        <w:rPr>
          <w:rFonts w:ascii="宋体" w:hAnsi="宋体"/>
          <w:b/>
          <w:sz w:val="24"/>
          <w:szCs w:val="24"/>
        </w:rPr>
      </w:pPr>
      <w:r>
        <w:rPr>
          <w:rFonts w:ascii="宋体" w:hAnsi="宋体" w:hint="eastAsia"/>
          <w:b/>
          <w:sz w:val="24"/>
          <w:szCs w:val="24"/>
        </w:rPr>
        <w:t>七</w:t>
      </w:r>
      <w:r w:rsidR="00F76A09">
        <w:rPr>
          <w:rFonts w:ascii="宋体" w:hAnsi="宋体"/>
          <w:b/>
          <w:sz w:val="24"/>
          <w:szCs w:val="24"/>
        </w:rPr>
        <w:t>、监事会意见</w:t>
      </w:r>
    </w:p>
    <w:p w:rsidR="00ED6828" w:rsidRPr="00ED6828" w:rsidRDefault="00ED6828" w:rsidP="00B27030">
      <w:pPr>
        <w:spacing w:line="360" w:lineRule="auto"/>
        <w:ind w:firstLineChars="200" w:firstLine="516"/>
        <w:rPr>
          <w:rFonts w:ascii="宋体" w:hAnsi="宋体"/>
          <w:sz w:val="24"/>
          <w:szCs w:val="24"/>
        </w:rPr>
      </w:pPr>
      <w:r w:rsidRPr="00ED6828">
        <w:rPr>
          <w:rFonts w:ascii="宋体" w:hAnsi="宋体" w:hint="eastAsia"/>
          <w:sz w:val="24"/>
          <w:szCs w:val="24"/>
        </w:rPr>
        <w:t>第</w:t>
      </w:r>
      <w:r w:rsidR="00285CC2">
        <w:rPr>
          <w:rFonts w:ascii="宋体" w:hAnsi="宋体" w:hint="eastAsia"/>
          <w:sz w:val="24"/>
          <w:szCs w:val="24"/>
        </w:rPr>
        <w:t>七届监事会第十九</w:t>
      </w:r>
      <w:r w:rsidRPr="00ED6828">
        <w:rPr>
          <w:rFonts w:ascii="宋体" w:hAnsi="宋体" w:hint="eastAsia"/>
          <w:sz w:val="24"/>
          <w:szCs w:val="24"/>
        </w:rPr>
        <w:t>次会议审议通过了《关于</w:t>
      </w:r>
      <w:r w:rsidR="00285CC2">
        <w:rPr>
          <w:rFonts w:ascii="宋体" w:hAnsi="宋体" w:hint="eastAsia"/>
          <w:sz w:val="24"/>
          <w:szCs w:val="24"/>
        </w:rPr>
        <w:t>注销公司</w:t>
      </w:r>
      <w:r w:rsidR="00285CC2">
        <w:rPr>
          <w:rFonts w:ascii="宋体" w:hAnsi="宋体"/>
          <w:sz w:val="24"/>
          <w:szCs w:val="24"/>
        </w:rPr>
        <w:t>部分股票期权</w:t>
      </w:r>
      <w:r w:rsidRPr="00ED6828">
        <w:rPr>
          <w:rFonts w:ascii="宋体" w:hAnsi="宋体" w:hint="eastAsia"/>
          <w:sz w:val="24"/>
          <w:szCs w:val="24"/>
        </w:rPr>
        <w:t>的议案》。经核查，监事会认为：</w:t>
      </w:r>
      <w:r w:rsidR="00285CC2" w:rsidRPr="00285CC2">
        <w:rPr>
          <w:rFonts w:ascii="宋体" w:hAnsi="宋体" w:hint="eastAsia"/>
          <w:sz w:val="24"/>
          <w:szCs w:val="24"/>
        </w:rPr>
        <w:t>公司监事会对调整公司股票期权激励计划中注销股票期权的原因、数量和激励对象名单进行了认真核查，认为公司本次注销部分股票期权符合相关法律法规及《股票期权激励计划》的相关规定，程序合法合规，不会对公司财务状况和经营成果产生实质性影响。</w:t>
      </w:r>
    </w:p>
    <w:p w:rsidR="00F76A09" w:rsidRDefault="00F60FBE" w:rsidP="00B27030">
      <w:pPr>
        <w:spacing w:line="360" w:lineRule="auto"/>
        <w:ind w:firstLineChars="200" w:firstLine="518"/>
        <w:rPr>
          <w:rFonts w:ascii="宋体" w:hAnsi="宋体"/>
          <w:b/>
          <w:sz w:val="24"/>
          <w:szCs w:val="24"/>
        </w:rPr>
      </w:pPr>
      <w:r>
        <w:rPr>
          <w:rFonts w:ascii="宋体" w:hAnsi="宋体" w:hint="eastAsia"/>
          <w:b/>
          <w:sz w:val="24"/>
          <w:szCs w:val="24"/>
        </w:rPr>
        <w:t>八</w:t>
      </w:r>
      <w:r w:rsidR="00F76A09">
        <w:rPr>
          <w:rFonts w:ascii="宋体" w:hAnsi="宋体"/>
          <w:b/>
          <w:sz w:val="24"/>
          <w:szCs w:val="24"/>
        </w:rPr>
        <w:t>、律师意见</w:t>
      </w:r>
    </w:p>
    <w:p w:rsidR="00D4710E" w:rsidRDefault="0034238B" w:rsidP="00D4710E">
      <w:pPr>
        <w:spacing w:line="360" w:lineRule="auto"/>
        <w:ind w:firstLineChars="200" w:firstLine="516"/>
        <w:jc w:val="left"/>
        <w:rPr>
          <w:rFonts w:ascii="宋体" w:hAnsi="宋体"/>
          <w:sz w:val="24"/>
          <w:szCs w:val="24"/>
        </w:rPr>
      </w:pPr>
      <w:r w:rsidRPr="00D4710E">
        <w:rPr>
          <w:rFonts w:ascii="宋体" w:hAnsi="宋体" w:hint="eastAsia"/>
          <w:sz w:val="24"/>
          <w:szCs w:val="24"/>
        </w:rPr>
        <w:t>北京市中伦（深圳）律师事务所</w:t>
      </w:r>
      <w:r w:rsidR="00072642" w:rsidRPr="00D4710E">
        <w:rPr>
          <w:rFonts w:ascii="宋体" w:hAnsi="宋体" w:hint="eastAsia"/>
          <w:sz w:val="24"/>
          <w:szCs w:val="24"/>
        </w:rPr>
        <w:t>核查后认为：</w:t>
      </w:r>
    </w:p>
    <w:p w:rsidR="00FF49AF" w:rsidRPr="00072642" w:rsidRDefault="00D4710E" w:rsidP="00D4710E">
      <w:pPr>
        <w:spacing w:line="360" w:lineRule="auto"/>
        <w:ind w:firstLineChars="200" w:firstLine="516"/>
        <w:jc w:val="left"/>
        <w:rPr>
          <w:rFonts w:ascii="宋体" w:hAnsi="宋体"/>
          <w:sz w:val="24"/>
          <w:szCs w:val="24"/>
        </w:rPr>
      </w:pPr>
      <w:r>
        <w:rPr>
          <w:rFonts w:ascii="宋体" w:hAnsi="宋体"/>
          <w:sz w:val="24"/>
          <w:szCs w:val="24"/>
        </w:rPr>
        <w:t>1.</w:t>
      </w:r>
      <w:r w:rsidRPr="00D4710E">
        <w:rPr>
          <w:rFonts w:ascii="宋体" w:hAnsi="宋体"/>
          <w:sz w:val="24"/>
          <w:szCs w:val="24"/>
        </w:rPr>
        <w:t>公司本次注销已履行现阶段必要的批准与授权程序，符合</w:t>
      </w:r>
      <w:r w:rsidRPr="00D4710E">
        <w:rPr>
          <w:rFonts w:ascii="宋体" w:hAnsi="宋体" w:hint="eastAsia"/>
          <w:sz w:val="24"/>
          <w:szCs w:val="24"/>
        </w:rPr>
        <w:t>《上市公司股权激励管理办法》、《主板信息披露业务备忘录第3号--股权激励及员工持股计划》</w:t>
      </w:r>
      <w:r w:rsidRPr="00D4710E">
        <w:rPr>
          <w:rFonts w:ascii="宋体" w:hAnsi="宋体"/>
          <w:sz w:val="24"/>
          <w:szCs w:val="24"/>
        </w:rPr>
        <w:t>等法律、法规和规范性文件以及</w:t>
      </w:r>
      <w:r w:rsidRPr="00285CC2">
        <w:rPr>
          <w:rFonts w:ascii="宋体" w:hAnsi="宋体" w:hint="eastAsia"/>
          <w:sz w:val="24"/>
          <w:szCs w:val="24"/>
        </w:rPr>
        <w:t>《股票期权激励计划》</w:t>
      </w:r>
      <w:r w:rsidRPr="00D4710E">
        <w:rPr>
          <w:rFonts w:ascii="宋体" w:hAnsi="宋体"/>
          <w:sz w:val="24"/>
          <w:szCs w:val="24"/>
        </w:rPr>
        <w:t>的相关规定。</w:t>
      </w:r>
      <w:r>
        <w:rPr>
          <w:rFonts w:ascii="宋体" w:hAnsi="宋体"/>
          <w:sz w:val="24"/>
          <w:szCs w:val="24"/>
        </w:rPr>
        <w:br/>
      </w:r>
      <w:r>
        <w:rPr>
          <w:rFonts w:ascii="宋体" w:hAnsi="宋体" w:hint="eastAsia"/>
          <w:sz w:val="24"/>
          <w:szCs w:val="24"/>
        </w:rPr>
        <w:t xml:space="preserve">   </w:t>
      </w:r>
      <w:r>
        <w:rPr>
          <w:rFonts w:ascii="宋体" w:hAnsi="宋体"/>
          <w:sz w:val="24"/>
          <w:szCs w:val="24"/>
        </w:rPr>
        <w:t>2.</w:t>
      </w:r>
      <w:r w:rsidRPr="00D4710E">
        <w:rPr>
          <w:rFonts w:ascii="宋体" w:hAnsi="宋体"/>
          <w:sz w:val="24"/>
          <w:szCs w:val="24"/>
        </w:rPr>
        <w:t>公司本次注销的具体内容符合合</w:t>
      </w:r>
      <w:r w:rsidRPr="00D4710E">
        <w:rPr>
          <w:rFonts w:ascii="宋体" w:hAnsi="宋体" w:hint="eastAsia"/>
          <w:sz w:val="24"/>
          <w:szCs w:val="24"/>
        </w:rPr>
        <w:t>《上市公司股权激励管理办法》、《主板信息披露业务备忘录第3号--股权激励及员工持股计划》</w:t>
      </w:r>
      <w:r w:rsidRPr="00D4710E">
        <w:rPr>
          <w:rFonts w:ascii="宋体" w:hAnsi="宋体"/>
          <w:sz w:val="24"/>
          <w:szCs w:val="24"/>
        </w:rPr>
        <w:t>等法律、法规和规范性文件以及</w:t>
      </w:r>
      <w:r w:rsidRPr="00285CC2">
        <w:rPr>
          <w:rFonts w:ascii="宋体" w:hAnsi="宋体" w:hint="eastAsia"/>
          <w:sz w:val="24"/>
          <w:szCs w:val="24"/>
        </w:rPr>
        <w:t>《股票期权激励计划》</w:t>
      </w:r>
      <w:r w:rsidRPr="00D4710E">
        <w:rPr>
          <w:rFonts w:ascii="宋体" w:hAnsi="宋体"/>
          <w:sz w:val="24"/>
          <w:szCs w:val="24"/>
        </w:rPr>
        <w:t>的相关规定。</w:t>
      </w:r>
    </w:p>
    <w:p w:rsidR="00AA0906" w:rsidRPr="000B72F9" w:rsidRDefault="00F60FBE" w:rsidP="00B27030">
      <w:pPr>
        <w:spacing w:line="360" w:lineRule="auto"/>
        <w:ind w:firstLineChars="200" w:firstLine="518"/>
        <w:rPr>
          <w:rFonts w:ascii="宋体" w:hAnsi="宋体"/>
          <w:sz w:val="24"/>
          <w:szCs w:val="24"/>
        </w:rPr>
      </w:pPr>
      <w:r>
        <w:rPr>
          <w:rFonts w:ascii="宋体" w:hAnsi="宋体" w:hint="eastAsia"/>
          <w:b/>
          <w:sz w:val="24"/>
          <w:szCs w:val="24"/>
        </w:rPr>
        <w:t>九</w:t>
      </w:r>
      <w:r w:rsidR="00B01AD0" w:rsidRPr="000B72F9">
        <w:rPr>
          <w:rFonts w:ascii="宋体" w:hAnsi="宋体" w:hint="eastAsia"/>
          <w:b/>
          <w:sz w:val="24"/>
          <w:szCs w:val="24"/>
        </w:rPr>
        <w:t>、备查文件</w:t>
      </w:r>
      <w:r w:rsidR="00AA0906" w:rsidRPr="000B72F9">
        <w:rPr>
          <w:rFonts w:ascii="宋体" w:hAnsi="宋体" w:hint="eastAsia"/>
          <w:b/>
          <w:sz w:val="24"/>
          <w:szCs w:val="24"/>
        </w:rPr>
        <w:t>目录</w:t>
      </w:r>
    </w:p>
    <w:p w:rsidR="00AA0906" w:rsidRPr="000B72F9" w:rsidRDefault="003373DD" w:rsidP="00B27030">
      <w:pPr>
        <w:spacing w:line="360" w:lineRule="auto"/>
        <w:ind w:firstLineChars="200" w:firstLine="516"/>
        <w:rPr>
          <w:rFonts w:ascii="宋体" w:hAnsi="宋体"/>
          <w:sz w:val="24"/>
          <w:szCs w:val="24"/>
        </w:rPr>
      </w:pPr>
      <w:r w:rsidRPr="000B72F9">
        <w:rPr>
          <w:rFonts w:ascii="宋体" w:hAnsi="宋体" w:hint="eastAsia"/>
          <w:sz w:val="24"/>
          <w:szCs w:val="24"/>
        </w:rPr>
        <w:t>1、</w:t>
      </w:r>
      <w:r w:rsidR="00AA0906" w:rsidRPr="000B72F9">
        <w:rPr>
          <w:rFonts w:ascii="宋体" w:hAnsi="宋体" w:hint="eastAsia"/>
          <w:sz w:val="24"/>
          <w:szCs w:val="24"/>
        </w:rPr>
        <w:t>第</w:t>
      </w:r>
      <w:r w:rsidR="008D456E" w:rsidRPr="000B72F9">
        <w:rPr>
          <w:rFonts w:ascii="宋体" w:hAnsi="宋体" w:hint="eastAsia"/>
          <w:sz w:val="24"/>
          <w:szCs w:val="24"/>
        </w:rPr>
        <w:t>七</w:t>
      </w:r>
      <w:r w:rsidR="00AA0906" w:rsidRPr="000B72F9">
        <w:rPr>
          <w:rFonts w:ascii="宋体" w:hAnsi="宋体" w:hint="eastAsia"/>
          <w:sz w:val="24"/>
          <w:szCs w:val="24"/>
        </w:rPr>
        <w:t>届董事会第</w:t>
      </w:r>
      <w:r w:rsidR="00F76A09">
        <w:rPr>
          <w:rFonts w:ascii="宋体" w:hAnsi="宋体" w:hint="eastAsia"/>
          <w:sz w:val="24"/>
          <w:szCs w:val="24"/>
        </w:rPr>
        <w:t>三十</w:t>
      </w:r>
      <w:r w:rsidR="00AA0906" w:rsidRPr="000B72F9">
        <w:rPr>
          <w:rFonts w:ascii="宋体" w:hAnsi="宋体" w:hint="eastAsia"/>
          <w:sz w:val="24"/>
          <w:szCs w:val="24"/>
        </w:rPr>
        <w:t>次会议决议</w:t>
      </w:r>
    </w:p>
    <w:p w:rsidR="003373DD" w:rsidRDefault="003373DD" w:rsidP="00B27030">
      <w:pPr>
        <w:spacing w:line="360" w:lineRule="auto"/>
        <w:ind w:firstLineChars="200" w:firstLine="516"/>
        <w:rPr>
          <w:rFonts w:ascii="宋体" w:hAnsi="宋体"/>
          <w:sz w:val="24"/>
          <w:szCs w:val="24"/>
        </w:rPr>
      </w:pPr>
      <w:r w:rsidRPr="000B72F9">
        <w:rPr>
          <w:rFonts w:ascii="宋体" w:hAnsi="宋体" w:hint="eastAsia"/>
          <w:sz w:val="24"/>
          <w:szCs w:val="24"/>
        </w:rPr>
        <w:t>2、</w:t>
      </w:r>
      <w:r w:rsidR="00F76A09" w:rsidRPr="000B72F9">
        <w:rPr>
          <w:rFonts w:ascii="宋体" w:hAnsi="宋体" w:hint="eastAsia"/>
          <w:sz w:val="24"/>
          <w:szCs w:val="24"/>
        </w:rPr>
        <w:t>第七</w:t>
      </w:r>
      <w:r w:rsidR="00F76A09">
        <w:rPr>
          <w:rFonts w:ascii="宋体" w:hAnsi="宋体" w:hint="eastAsia"/>
          <w:sz w:val="24"/>
          <w:szCs w:val="24"/>
        </w:rPr>
        <w:t>届监</w:t>
      </w:r>
      <w:r w:rsidR="00F76A09" w:rsidRPr="000B72F9">
        <w:rPr>
          <w:rFonts w:ascii="宋体" w:hAnsi="宋体" w:hint="eastAsia"/>
          <w:sz w:val="24"/>
          <w:szCs w:val="24"/>
        </w:rPr>
        <w:t>事会第</w:t>
      </w:r>
      <w:r w:rsidR="00F76A09">
        <w:rPr>
          <w:rFonts w:ascii="宋体" w:hAnsi="宋体" w:hint="eastAsia"/>
          <w:sz w:val="24"/>
          <w:szCs w:val="24"/>
        </w:rPr>
        <w:t>十九</w:t>
      </w:r>
      <w:r w:rsidR="00F76A09" w:rsidRPr="000B72F9">
        <w:rPr>
          <w:rFonts w:ascii="宋体" w:hAnsi="宋体" w:hint="eastAsia"/>
          <w:sz w:val="24"/>
          <w:szCs w:val="24"/>
        </w:rPr>
        <w:t>次会议决议</w:t>
      </w:r>
    </w:p>
    <w:p w:rsidR="00F64123" w:rsidRPr="003373DD" w:rsidRDefault="00F64123" w:rsidP="00B27030">
      <w:pPr>
        <w:spacing w:line="360" w:lineRule="auto"/>
        <w:ind w:firstLineChars="200" w:firstLine="516"/>
        <w:rPr>
          <w:rFonts w:ascii="宋体" w:hAnsi="宋体"/>
          <w:sz w:val="24"/>
          <w:szCs w:val="24"/>
        </w:rPr>
      </w:pPr>
      <w:r>
        <w:rPr>
          <w:rFonts w:ascii="宋体" w:hAnsi="宋体" w:hint="eastAsia"/>
          <w:sz w:val="24"/>
          <w:szCs w:val="24"/>
        </w:rPr>
        <w:t>3、</w:t>
      </w:r>
      <w:r w:rsidRPr="00F64123">
        <w:rPr>
          <w:rFonts w:ascii="宋体" w:hAnsi="宋体" w:hint="eastAsia"/>
          <w:sz w:val="24"/>
          <w:szCs w:val="24"/>
        </w:rPr>
        <w:t>独立董事关于第</w:t>
      </w:r>
      <w:r>
        <w:rPr>
          <w:rFonts w:ascii="宋体" w:hAnsi="宋体" w:hint="eastAsia"/>
          <w:sz w:val="24"/>
          <w:szCs w:val="24"/>
        </w:rPr>
        <w:t>七届董事会第三十</w:t>
      </w:r>
      <w:r w:rsidRPr="00F64123">
        <w:rPr>
          <w:rFonts w:ascii="宋体" w:hAnsi="宋体" w:hint="eastAsia"/>
          <w:sz w:val="24"/>
          <w:szCs w:val="24"/>
        </w:rPr>
        <w:t>次会议相关事项的独立意见</w:t>
      </w:r>
    </w:p>
    <w:p w:rsidR="00F60FBE" w:rsidRDefault="00F64123" w:rsidP="00F60FBE">
      <w:pPr>
        <w:spacing w:line="360" w:lineRule="auto"/>
        <w:ind w:firstLineChars="200" w:firstLine="516"/>
        <w:rPr>
          <w:rFonts w:ascii="宋体" w:hAnsi="宋体"/>
          <w:sz w:val="24"/>
          <w:szCs w:val="24"/>
        </w:rPr>
      </w:pPr>
      <w:r>
        <w:rPr>
          <w:rFonts w:ascii="宋体" w:hAnsi="宋体"/>
          <w:sz w:val="24"/>
          <w:szCs w:val="24"/>
        </w:rPr>
        <w:lastRenderedPageBreak/>
        <w:t>4</w:t>
      </w:r>
      <w:r>
        <w:rPr>
          <w:rFonts w:ascii="宋体" w:hAnsi="宋体" w:hint="eastAsia"/>
          <w:sz w:val="24"/>
          <w:szCs w:val="24"/>
        </w:rPr>
        <w:t>、中伦</w:t>
      </w:r>
      <w:r>
        <w:rPr>
          <w:rFonts w:ascii="宋体" w:hAnsi="宋体"/>
          <w:sz w:val="24"/>
          <w:szCs w:val="24"/>
        </w:rPr>
        <w:t>律师</w:t>
      </w:r>
      <w:r>
        <w:rPr>
          <w:rFonts w:ascii="宋体" w:hAnsi="宋体" w:hint="eastAsia"/>
          <w:sz w:val="24"/>
          <w:szCs w:val="24"/>
        </w:rPr>
        <w:t>事务所</w:t>
      </w:r>
      <w:r>
        <w:rPr>
          <w:rFonts w:ascii="宋体" w:hAnsi="宋体"/>
          <w:sz w:val="24"/>
          <w:szCs w:val="24"/>
        </w:rPr>
        <w:t>出具的法律意见书</w:t>
      </w:r>
      <w:r>
        <w:rPr>
          <w:rFonts w:ascii="宋体" w:hAnsi="宋体" w:hint="eastAsia"/>
          <w:sz w:val="24"/>
          <w:szCs w:val="24"/>
        </w:rPr>
        <w:t>。</w:t>
      </w:r>
    </w:p>
    <w:p w:rsidR="0034238B" w:rsidRPr="00F64123" w:rsidRDefault="0034238B" w:rsidP="003C1BB2">
      <w:pPr>
        <w:spacing w:line="360" w:lineRule="auto"/>
        <w:ind w:firstLineChars="200" w:firstLine="516"/>
        <w:rPr>
          <w:rFonts w:ascii="宋体" w:hAnsi="宋体"/>
          <w:sz w:val="24"/>
          <w:szCs w:val="24"/>
        </w:rPr>
      </w:pPr>
    </w:p>
    <w:p w:rsidR="00D94D87" w:rsidRPr="008D456E" w:rsidRDefault="00D94D87" w:rsidP="003C1BB2">
      <w:pPr>
        <w:spacing w:line="360" w:lineRule="auto"/>
        <w:ind w:firstLineChars="500" w:firstLine="1291"/>
        <w:rPr>
          <w:rFonts w:ascii="宋体" w:hAnsi="宋体"/>
          <w:sz w:val="24"/>
          <w:szCs w:val="24"/>
        </w:rPr>
      </w:pPr>
      <w:r w:rsidRPr="008D456E">
        <w:rPr>
          <w:rFonts w:ascii="宋体" w:hAnsi="宋体" w:hint="eastAsia"/>
          <w:sz w:val="24"/>
          <w:szCs w:val="24"/>
        </w:rPr>
        <w:t xml:space="preserve">                             </w:t>
      </w:r>
      <w:r w:rsidR="00E86383" w:rsidRPr="008D456E">
        <w:rPr>
          <w:rFonts w:ascii="宋体" w:hAnsi="宋体" w:hint="eastAsia"/>
          <w:sz w:val="24"/>
          <w:szCs w:val="24"/>
        </w:rPr>
        <w:t xml:space="preserve"> </w:t>
      </w:r>
      <w:r w:rsidRPr="008D456E">
        <w:rPr>
          <w:rFonts w:ascii="宋体" w:hAnsi="宋体" w:hint="eastAsia"/>
          <w:sz w:val="24"/>
          <w:szCs w:val="24"/>
        </w:rPr>
        <w:t>重庆长安汽车股份有限公司董事会</w:t>
      </w:r>
    </w:p>
    <w:p w:rsidR="00D94D87" w:rsidRPr="008D456E" w:rsidRDefault="00D94D87" w:rsidP="003C1BB2">
      <w:pPr>
        <w:spacing w:line="360" w:lineRule="auto"/>
        <w:ind w:firstLineChars="500" w:firstLine="1291"/>
        <w:rPr>
          <w:rFonts w:ascii="宋体" w:hAnsi="宋体" w:cs="Arial"/>
          <w:sz w:val="24"/>
          <w:szCs w:val="24"/>
        </w:rPr>
      </w:pPr>
      <w:r w:rsidRPr="008D456E">
        <w:rPr>
          <w:rFonts w:ascii="宋体" w:hAnsi="宋体" w:hint="eastAsia"/>
          <w:sz w:val="24"/>
          <w:szCs w:val="24"/>
        </w:rPr>
        <w:t xml:space="preserve">          </w:t>
      </w:r>
      <w:r w:rsidR="00CA5866" w:rsidRPr="008D456E">
        <w:rPr>
          <w:rFonts w:ascii="宋体" w:hAnsi="宋体" w:hint="eastAsia"/>
          <w:sz w:val="24"/>
          <w:szCs w:val="24"/>
        </w:rPr>
        <w:t xml:space="preserve">                            201</w:t>
      </w:r>
      <w:r w:rsidR="00FB6A08">
        <w:rPr>
          <w:rFonts w:ascii="宋体" w:hAnsi="宋体" w:hint="eastAsia"/>
          <w:sz w:val="24"/>
          <w:szCs w:val="24"/>
        </w:rPr>
        <w:t>8</w:t>
      </w:r>
      <w:r w:rsidRPr="008D456E">
        <w:rPr>
          <w:rFonts w:ascii="宋体" w:hAnsi="宋体" w:hint="eastAsia"/>
          <w:sz w:val="24"/>
          <w:szCs w:val="24"/>
        </w:rPr>
        <w:t>年</w:t>
      </w:r>
      <w:r w:rsidR="000B72F9">
        <w:rPr>
          <w:rFonts w:ascii="宋体" w:hAnsi="宋体"/>
          <w:sz w:val="24"/>
          <w:szCs w:val="24"/>
        </w:rPr>
        <w:t>4</w:t>
      </w:r>
      <w:r w:rsidRPr="00FB5024">
        <w:rPr>
          <w:rFonts w:ascii="宋体" w:hAnsi="宋体" w:hint="eastAsia"/>
          <w:sz w:val="24"/>
          <w:szCs w:val="24"/>
        </w:rPr>
        <w:t>月</w:t>
      </w:r>
      <w:r w:rsidR="000B72F9">
        <w:rPr>
          <w:rFonts w:ascii="宋体" w:hAnsi="宋体"/>
          <w:sz w:val="24"/>
          <w:szCs w:val="24"/>
        </w:rPr>
        <w:t>1</w:t>
      </w:r>
      <w:r w:rsidR="00A16AC3">
        <w:rPr>
          <w:rFonts w:ascii="宋体" w:hAnsi="宋体"/>
          <w:sz w:val="24"/>
          <w:szCs w:val="24"/>
        </w:rPr>
        <w:t>8</w:t>
      </w:r>
      <w:r w:rsidRPr="00FB5024">
        <w:rPr>
          <w:rFonts w:ascii="宋体" w:hAnsi="宋体" w:hint="eastAsia"/>
          <w:sz w:val="24"/>
          <w:szCs w:val="24"/>
        </w:rPr>
        <w:t>日</w:t>
      </w:r>
    </w:p>
    <w:sectPr w:rsidR="00D94D87" w:rsidRPr="008D456E" w:rsidSect="003C63BD">
      <w:footerReference w:type="even" r:id="rId8"/>
      <w:pgSz w:w="11906" w:h="16838"/>
      <w:pgMar w:top="1134" w:right="1416" w:bottom="1134" w:left="1219" w:header="907" w:footer="1021" w:gutter="57"/>
      <w:cols w:space="720"/>
      <w:docGrid w:type="linesAndChars" w:linePitch="338" w:charSpace="3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CA" w:rsidRDefault="005F21CA">
      <w:r>
        <w:separator/>
      </w:r>
    </w:p>
  </w:endnote>
  <w:endnote w:type="continuationSeparator" w:id="0">
    <w:p w:rsidR="005F21CA" w:rsidRDefault="005F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87" w:rsidRDefault="000C4433">
    <w:pPr>
      <w:pStyle w:val="ab"/>
      <w:framePr w:wrap="around" w:vAnchor="text" w:hAnchor="margin" w:xAlign="center" w:y="1"/>
      <w:rPr>
        <w:rStyle w:val="a5"/>
      </w:rPr>
    </w:pPr>
    <w:r>
      <w:fldChar w:fldCharType="begin"/>
    </w:r>
    <w:r w:rsidR="00D94D87">
      <w:rPr>
        <w:rStyle w:val="a5"/>
      </w:rPr>
      <w:instrText xml:space="preserve">PAGE  </w:instrText>
    </w:r>
    <w:r>
      <w:fldChar w:fldCharType="separate"/>
    </w:r>
    <w:r w:rsidR="00D94D87">
      <w:rPr>
        <w:rStyle w:val="a5"/>
      </w:rPr>
      <w:t>1</w:t>
    </w:r>
    <w:r>
      <w:fldChar w:fldCharType="end"/>
    </w:r>
  </w:p>
  <w:p w:rsidR="00D94D87" w:rsidRDefault="00D94D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CA" w:rsidRDefault="005F21CA">
      <w:r>
        <w:separator/>
      </w:r>
    </w:p>
  </w:footnote>
  <w:footnote w:type="continuationSeparator" w:id="0">
    <w:p w:rsidR="005F21CA" w:rsidRDefault="005F2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6390"/>
    <w:multiLevelType w:val="hybridMultilevel"/>
    <w:tmpl w:val="DFEC0B76"/>
    <w:lvl w:ilvl="0" w:tplc="BCF0FC20">
      <w:start w:val="1"/>
      <w:numFmt w:val="japaneseCounting"/>
      <w:lvlText w:val="%1、"/>
      <w:lvlJc w:val="left"/>
      <w:pPr>
        <w:ind w:left="1238" w:hanging="72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1" w15:restartNumberingAfterBreak="0">
    <w:nsid w:val="5DFD001F"/>
    <w:multiLevelType w:val="hybridMultilevel"/>
    <w:tmpl w:val="ED1E3D2A"/>
    <w:lvl w:ilvl="0" w:tplc="D17ACED2">
      <w:start w:val="1"/>
      <w:numFmt w:val="chineseCountingThousand"/>
      <w:lvlText w:val="第%1条"/>
      <w:lvlJc w:val="left"/>
      <w:pPr>
        <w:ind w:left="420" w:hanging="420"/>
      </w:pPr>
      <w:rPr>
        <w:rFonts w:ascii="宋体" w:eastAsia="宋体" w:hAnsi="宋体" w:hint="eastAsia"/>
        <w:b w:val="0"/>
        <w:lang w:val="en-US"/>
      </w:rPr>
    </w:lvl>
    <w:lvl w:ilvl="1" w:tplc="F130724C">
      <w:start w:val="1"/>
      <w:numFmt w:val="decimal"/>
      <w:lvlText w:val="（%2）"/>
      <w:lvlJc w:val="left"/>
      <w:pPr>
        <w:ind w:left="1530" w:hanging="111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511DAF"/>
    <w:multiLevelType w:val="multilevel"/>
    <w:tmpl w:val="61511DAF"/>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94E11D7"/>
    <w:multiLevelType w:val="multilevel"/>
    <w:tmpl w:val="694E11D7"/>
    <w:lvl w:ilvl="0">
      <w:start w:val="1"/>
      <w:numFmt w:val="decimal"/>
      <w:lvlText w:val="9.%1"/>
      <w:lvlJc w:val="left"/>
      <w:pPr>
        <w:tabs>
          <w:tab w:val="num" w:pos="840"/>
        </w:tabs>
        <w:ind w:left="840" w:hanging="420"/>
      </w:pPr>
      <w:rPr>
        <w:rFonts w:ascii="Times New Roman" w:hAnsi="Times New Roman" w:cs="Times New Roman" w:hint="default"/>
      </w:rPr>
    </w:lvl>
    <w:lvl w:ilvl="1">
      <w:start w:val="1"/>
      <w:numFmt w:val="decimal"/>
      <w:lvlText w:val="12.%2"/>
      <w:lvlJc w:val="left"/>
      <w:pPr>
        <w:tabs>
          <w:tab w:val="num" w:pos="840"/>
        </w:tabs>
        <w:ind w:left="840" w:hanging="420"/>
      </w:pPr>
      <w:rPr>
        <w:rFonts w:ascii="Times New Roman" w:hAnsi="Times New Roman" w:cs="Times New Roman" w:hint="default"/>
      </w:rPr>
    </w:lvl>
    <w:lvl w:ilvl="2">
      <w:start w:val="1"/>
      <w:numFmt w:val="lowerLetter"/>
      <w:lvlText w:val="(%3)"/>
      <w:lvlJc w:val="lef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720D2D07"/>
    <w:multiLevelType w:val="hybridMultilevel"/>
    <w:tmpl w:val="9CCCAC10"/>
    <w:lvl w:ilvl="0" w:tplc="8F5C3348">
      <w:start w:val="1"/>
      <w:numFmt w:val="japaneseCounting"/>
      <w:lvlText w:val="（%1）"/>
      <w:lvlJc w:val="left"/>
      <w:pPr>
        <w:ind w:left="1283" w:hanging="765"/>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5" w15:restartNumberingAfterBreak="0">
    <w:nsid w:val="755A4FB0"/>
    <w:multiLevelType w:val="hybridMultilevel"/>
    <w:tmpl w:val="8DE2B604"/>
    <w:lvl w:ilvl="0" w:tplc="41B410E6">
      <w:start w:val="1"/>
      <w:numFmt w:val="bullet"/>
      <w:lvlText w:val=""/>
      <w:lvlJc w:val="left"/>
      <w:pPr>
        <w:tabs>
          <w:tab w:val="num" w:pos="720"/>
        </w:tabs>
        <w:ind w:left="720" w:hanging="360"/>
      </w:pPr>
      <w:rPr>
        <w:rFonts w:ascii="Wingdings" w:hAnsi="Wingdings" w:hint="default"/>
      </w:rPr>
    </w:lvl>
    <w:lvl w:ilvl="1" w:tplc="ADDC80E0" w:tentative="1">
      <w:start w:val="1"/>
      <w:numFmt w:val="bullet"/>
      <w:lvlText w:val=""/>
      <w:lvlJc w:val="left"/>
      <w:pPr>
        <w:tabs>
          <w:tab w:val="num" w:pos="1440"/>
        </w:tabs>
        <w:ind w:left="1440" w:hanging="360"/>
      </w:pPr>
      <w:rPr>
        <w:rFonts w:ascii="Wingdings" w:hAnsi="Wingdings" w:hint="default"/>
      </w:rPr>
    </w:lvl>
    <w:lvl w:ilvl="2" w:tplc="B90EEA82" w:tentative="1">
      <w:start w:val="1"/>
      <w:numFmt w:val="bullet"/>
      <w:lvlText w:val=""/>
      <w:lvlJc w:val="left"/>
      <w:pPr>
        <w:tabs>
          <w:tab w:val="num" w:pos="2160"/>
        </w:tabs>
        <w:ind w:left="2160" w:hanging="360"/>
      </w:pPr>
      <w:rPr>
        <w:rFonts w:ascii="Wingdings" w:hAnsi="Wingdings" w:hint="default"/>
      </w:rPr>
    </w:lvl>
    <w:lvl w:ilvl="3" w:tplc="298EACEA" w:tentative="1">
      <w:start w:val="1"/>
      <w:numFmt w:val="bullet"/>
      <w:lvlText w:val=""/>
      <w:lvlJc w:val="left"/>
      <w:pPr>
        <w:tabs>
          <w:tab w:val="num" w:pos="2880"/>
        </w:tabs>
        <w:ind w:left="2880" w:hanging="360"/>
      </w:pPr>
      <w:rPr>
        <w:rFonts w:ascii="Wingdings" w:hAnsi="Wingdings" w:hint="default"/>
      </w:rPr>
    </w:lvl>
    <w:lvl w:ilvl="4" w:tplc="0C78A342" w:tentative="1">
      <w:start w:val="1"/>
      <w:numFmt w:val="bullet"/>
      <w:lvlText w:val=""/>
      <w:lvlJc w:val="left"/>
      <w:pPr>
        <w:tabs>
          <w:tab w:val="num" w:pos="3600"/>
        </w:tabs>
        <w:ind w:left="3600" w:hanging="360"/>
      </w:pPr>
      <w:rPr>
        <w:rFonts w:ascii="Wingdings" w:hAnsi="Wingdings" w:hint="default"/>
      </w:rPr>
    </w:lvl>
    <w:lvl w:ilvl="5" w:tplc="8374A0F8" w:tentative="1">
      <w:start w:val="1"/>
      <w:numFmt w:val="bullet"/>
      <w:lvlText w:val=""/>
      <w:lvlJc w:val="left"/>
      <w:pPr>
        <w:tabs>
          <w:tab w:val="num" w:pos="4320"/>
        </w:tabs>
        <w:ind w:left="4320" w:hanging="360"/>
      </w:pPr>
      <w:rPr>
        <w:rFonts w:ascii="Wingdings" w:hAnsi="Wingdings" w:hint="default"/>
      </w:rPr>
    </w:lvl>
    <w:lvl w:ilvl="6" w:tplc="DD246738" w:tentative="1">
      <w:start w:val="1"/>
      <w:numFmt w:val="bullet"/>
      <w:lvlText w:val=""/>
      <w:lvlJc w:val="left"/>
      <w:pPr>
        <w:tabs>
          <w:tab w:val="num" w:pos="5040"/>
        </w:tabs>
        <w:ind w:left="5040" w:hanging="360"/>
      </w:pPr>
      <w:rPr>
        <w:rFonts w:ascii="Wingdings" w:hAnsi="Wingdings" w:hint="default"/>
      </w:rPr>
    </w:lvl>
    <w:lvl w:ilvl="7" w:tplc="354C0DE6" w:tentative="1">
      <w:start w:val="1"/>
      <w:numFmt w:val="bullet"/>
      <w:lvlText w:val=""/>
      <w:lvlJc w:val="left"/>
      <w:pPr>
        <w:tabs>
          <w:tab w:val="num" w:pos="5760"/>
        </w:tabs>
        <w:ind w:left="5760" w:hanging="360"/>
      </w:pPr>
      <w:rPr>
        <w:rFonts w:ascii="Wingdings" w:hAnsi="Wingdings" w:hint="default"/>
      </w:rPr>
    </w:lvl>
    <w:lvl w:ilvl="8" w:tplc="8C3EC9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4"/>
  <w:drawingGridVerticalSpacing w:val="169"/>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C"/>
    <w:rsid w:val="00000ADC"/>
    <w:rsid w:val="00002193"/>
    <w:rsid w:val="00003F28"/>
    <w:rsid w:val="00005CD4"/>
    <w:rsid w:val="000153AF"/>
    <w:rsid w:val="000357C8"/>
    <w:rsid w:val="00040CE6"/>
    <w:rsid w:val="00043744"/>
    <w:rsid w:val="00045E1D"/>
    <w:rsid w:val="000544A1"/>
    <w:rsid w:val="0005534B"/>
    <w:rsid w:val="0006495C"/>
    <w:rsid w:val="00072642"/>
    <w:rsid w:val="00080AC9"/>
    <w:rsid w:val="00086BBF"/>
    <w:rsid w:val="00090537"/>
    <w:rsid w:val="000913C5"/>
    <w:rsid w:val="000928C4"/>
    <w:rsid w:val="0009665E"/>
    <w:rsid w:val="000A5CE4"/>
    <w:rsid w:val="000B72F9"/>
    <w:rsid w:val="000C4433"/>
    <w:rsid w:val="000C6087"/>
    <w:rsid w:val="000D5278"/>
    <w:rsid w:val="000D675B"/>
    <w:rsid w:val="000D7F67"/>
    <w:rsid w:val="000E20FA"/>
    <w:rsid w:val="000F6AC6"/>
    <w:rsid w:val="00101F5D"/>
    <w:rsid w:val="0010403A"/>
    <w:rsid w:val="001117C7"/>
    <w:rsid w:val="00117BA1"/>
    <w:rsid w:val="00125E01"/>
    <w:rsid w:val="00127181"/>
    <w:rsid w:val="00127C5A"/>
    <w:rsid w:val="0013256C"/>
    <w:rsid w:val="00137CEC"/>
    <w:rsid w:val="0015040B"/>
    <w:rsid w:val="00151866"/>
    <w:rsid w:val="0015406A"/>
    <w:rsid w:val="00154A2E"/>
    <w:rsid w:val="00157A80"/>
    <w:rsid w:val="00163C98"/>
    <w:rsid w:val="00171712"/>
    <w:rsid w:val="00173DA5"/>
    <w:rsid w:val="00174570"/>
    <w:rsid w:val="001831C9"/>
    <w:rsid w:val="001860DE"/>
    <w:rsid w:val="00193942"/>
    <w:rsid w:val="001B78BF"/>
    <w:rsid w:val="001C163F"/>
    <w:rsid w:val="001C61F5"/>
    <w:rsid w:val="001C6B14"/>
    <w:rsid w:val="001E1BEA"/>
    <w:rsid w:val="001E6BB9"/>
    <w:rsid w:val="00207462"/>
    <w:rsid w:val="0021568B"/>
    <w:rsid w:val="00230789"/>
    <w:rsid w:val="00231358"/>
    <w:rsid w:val="0024104B"/>
    <w:rsid w:val="00253E77"/>
    <w:rsid w:val="002569E3"/>
    <w:rsid w:val="00257262"/>
    <w:rsid w:val="00261661"/>
    <w:rsid w:val="00266709"/>
    <w:rsid w:val="00276FA4"/>
    <w:rsid w:val="00281924"/>
    <w:rsid w:val="00285BE9"/>
    <w:rsid w:val="00285CC2"/>
    <w:rsid w:val="00290219"/>
    <w:rsid w:val="00290ADB"/>
    <w:rsid w:val="002A2131"/>
    <w:rsid w:val="002A7205"/>
    <w:rsid w:val="002B3976"/>
    <w:rsid w:val="002C0C2E"/>
    <w:rsid w:val="002C6B4F"/>
    <w:rsid w:val="002E36AB"/>
    <w:rsid w:val="002E7084"/>
    <w:rsid w:val="002F096B"/>
    <w:rsid w:val="002F1251"/>
    <w:rsid w:val="002F1F32"/>
    <w:rsid w:val="002F3D5F"/>
    <w:rsid w:val="002F485C"/>
    <w:rsid w:val="003019A4"/>
    <w:rsid w:val="003053DF"/>
    <w:rsid w:val="00315EF8"/>
    <w:rsid w:val="00317E5E"/>
    <w:rsid w:val="00317F58"/>
    <w:rsid w:val="00321164"/>
    <w:rsid w:val="003214AB"/>
    <w:rsid w:val="00322CB4"/>
    <w:rsid w:val="003233C6"/>
    <w:rsid w:val="003247E4"/>
    <w:rsid w:val="0032760D"/>
    <w:rsid w:val="00330925"/>
    <w:rsid w:val="003373DD"/>
    <w:rsid w:val="0034238B"/>
    <w:rsid w:val="00342E75"/>
    <w:rsid w:val="003446CF"/>
    <w:rsid w:val="0035205E"/>
    <w:rsid w:val="00352A7E"/>
    <w:rsid w:val="00364243"/>
    <w:rsid w:val="00367913"/>
    <w:rsid w:val="0037104C"/>
    <w:rsid w:val="00372E1F"/>
    <w:rsid w:val="00374258"/>
    <w:rsid w:val="00380D59"/>
    <w:rsid w:val="003826B1"/>
    <w:rsid w:val="00383881"/>
    <w:rsid w:val="003B22A0"/>
    <w:rsid w:val="003B622A"/>
    <w:rsid w:val="003C0706"/>
    <w:rsid w:val="003C1BB2"/>
    <w:rsid w:val="003C63BD"/>
    <w:rsid w:val="003C688F"/>
    <w:rsid w:val="003E7FF1"/>
    <w:rsid w:val="003F062C"/>
    <w:rsid w:val="003F0BEF"/>
    <w:rsid w:val="003F2609"/>
    <w:rsid w:val="003F6D82"/>
    <w:rsid w:val="004069EE"/>
    <w:rsid w:val="004145EE"/>
    <w:rsid w:val="00421572"/>
    <w:rsid w:val="00423816"/>
    <w:rsid w:val="00427706"/>
    <w:rsid w:val="004333BF"/>
    <w:rsid w:val="004340D9"/>
    <w:rsid w:val="0043749F"/>
    <w:rsid w:val="00442B4B"/>
    <w:rsid w:val="00444163"/>
    <w:rsid w:val="00445F6F"/>
    <w:rsid w:val="00447558"/>
    <w:rsid w:val="004503D2"/>
    <w:rsid w:val="00450593"/>
    <w:rsid w:val="00453B8C"/>
    <w:rsid w:val="00453BD8"/>
    <w:rsid w:val="00455921"/>
    <w:rsid w:val="00456359"/>
    <w:rsid w:val="004714A3"/>
    <w:rsid w:val="004729A5"/>
    <w:rsid w:val="00476DBB"/>
    <w:rsid w:val="004839BD"/>
    <w:rsid w:val="00486B2E"/>
    <w:rsid w:val="00490122"/>
    <w:rsid w:val="004910F1"/>
    <w:rsid w:val="0049158F"/>
    <w:rsid w:val="00496FEB"/>
    <w:rsid w:val="004A2F76"/>
    <w:rsid w:val="004C25FB"/>
    <w:rsid w:val="004C66B1"/>
    <w:rsid w:val="004D106B"/>
    <w:rsid w:val="004E72C6"/>
    <w:rsid w:val="004F2086"/>
    <w:rsid w:val="004F211B"/>
    <w:rsid w:val="004F219A"/>
    <w:rsid w:val="00500362"/>
    <w:rsid w:val="00505402"/>
    <w:rsid w:val="00510E4E"/>
    <w:rsid w:val="005117B4"/>
    <w:rsid w:val="0051257E"/>
    <w:rsid w:val="00515BD1"/>
    <w:rsid w:val="00523141"/>
    <w:rsid w:val="005341E4"/>
    <w:rsid w:val="0054311C"/>
    <w:rsid w:val="005533D1"/>
    <w:rsid w:val="00557930"/>
    <w:rsid w:val="00563647"/>
    <w:rsid w:val="00571BE5"/>
    <w:rsid w:val="00586446"/>
    <w:rsid w:val="00587BB7"/>
    <w:rsid w:val="005956A8"/>
    <w:rsid w:val="005A5C87"/>
    <w:rsid w:val="005C15B2"/>
    <w:rsid w:val="005C562F"/>
    <w:rsid w:val="005D2C30"/>
    <w:rsid w:val="005E1CBE"/>
    <w:rsid w:val="005E24F6"/>
    <w:rsid w:val="005E6713"/>
    <w:rsid w:val="005E796B"/>
    <w:rsid w:val="005F21CA"/>
    <w:rsid w:val="005F2DA4"/>
    <w:rsid w:val="00603055"/>
    <w:rsid w:val="00605BBA"/>
    <w:rsid w:val="00610F9F"/>
    <w:rsid w:val="00611607"/>
    <w:rsid w:val="00621143"/>
    <w:rsid w:val="00622F54"/>
    <w:rsid w:val="0062324E"/>
    <w:rsid w:val="0062340B"/>
    <w:rsid w:val="006240C2"/>
    <w:rsid w:val="00635D46"/>
    <w:rsid w:val="00635D4F"/>
    <w:rsid w:val="00652FB7"/>
    <w:rsid w:val="00657354"/>
    <w:rsid w:val="006779AA"/>
    <w:rsid w:val="00683664"/>
    <w:rsid w:val="00686F1C"/>
    <w:rsid w:val="0069531C"/>
    <w:rsid w:val="00695B5A"/>
    <w:rsid w:val="00697841"/>
    <w:rsid w:val="006A017D"/>
    <w:rsid w:val="006B023A"/>
    <w:rsid w:val="006B1C7E"/>
    <w:rsid w:val="006B303B"/>
    <w:rsid w:val="006C4C02"/>
    <w:rsid w:val="006C77D0"/>
    <w:rsid w:val="006E6146"/>
    <w:rsid w:val="006F5E00"/>
    <w:rsid w:val="00701AC2"/>
    <w:rsid w:val="0073166F"/>
    <w:rsid w:val="00741E39"/>
    <w:rsid w:val="00745038"/>
    <w:rsid w:val="007640CB"/>
    <w:rsid w:val="00774666"/>
    <w:rsid w:val="007808DB"/>
    <w:rsid w:val="0078546C"/>
    <w:rsid w:val="007869C5"/>
    <w:rsid w:val="0079569C"/>
    <w:rsid w:val="007B07FB"/>
    <w:rsid w:val="007C48C5"/>
    <w:rsid w:val="007D59A1"/>
    <w:rsid w:val="007E7DCA"/>
    <w:rsid w:val="008042A1"/>
    <w:rsid w:val="00805C41"/>
    <w:rsid w:val="00822C9C"/>
    <w:rsid w:val="008255DF"/>
    <w:rsid w:val="00831AFC"/>
    <w:rsid w:val="00836688"/>
    <w:rsid w:val="0084062F"/>
    <w:rsid w:val="008536FF"/>
    <w:rsid w:val="00855CA2"/>
    <w:rsid w:val="0087200E"/>
    <w:rsid w:val="008736CB"/>
    <w:rsid w:val="00873A8C"/>
    <w:rsid w:val="008748DD"/>
    <w:rsid w:val="00874F19"/>
    <w:rsid w:val="008770B2"/>
    <w:rsid w:val="008778A9"/>
    <w:rsid w:val="0088052A"/>
    <w:rsid w:val="00882A64"/>
    <w:rsid w:val="00882EC2"/>
    <w:rsid w:val="0088467E"/>
    <w:rsid w:val="008854E5"/>
    <w:rsid w:val="0088705D"/>
    <w:rsid w:val="00887365"/>
    <w:rsid w:val="00890BA1"/>
    <w:rsid w:val="00896453"/>
    <w:rsid w:val="00896460"/>
    <w:rsid w:val="008A3554"/>
    <w:rsid w:val="008A7C2F"/>
    <w:rsid w:val="008B43C4"/>
    <w:rsid w:val="008B6AEF"/>
    <w:rsid w:val="008C160C"/>
    <w:rsid w:val="008C39DA"/>
    <w:rsid w:val="008C5EF8"/>
    <w:rsid w:val="008D456E"/>
    <w:rsid w:val="008D5AC5"/>
    <w:rsid w:val="008E583B"/>
    <w:rsid w:val="008F1C7A"/>
    <w:rsid w:val="008F3775"/>
    <w:rsid w:val="008F433E"/>
    <w:rsid w:val="008F49C7"/>
    <w:rsid w:val="009011F3"/>
    <w:rsid w:val="009016CE"/>
    <w:rsid w:val="00914D8D"/>
    <w:rsid w:val="00916C87"/>
    <w:rsid w:val="009263D5"/>
    <w:rsid w:val="00932FC9"/>
    <w:rsid w:val="00937D12"/>
    <w:rsid w:val="00985CA7"/>
    <w:rsid w:val="00993E6A"/>
    <w:rsid w:val="009B6E17"/>
    <w:rsid w:val="009B72BF"/>
    <w:rsid w:val="009C1AF4"/>
    <w:rsid w:val="009D0B41"/>
    <w:rsid w:val="009D11C8"/>
    <w:rsid w:val="009D4B66"/>
    <w:rsid w:val="009D530D"/>
    <w:rsid w:val="009D6A38"/>
    <w:rsid w:val="009D7098"/>
    <w:rsid w:val="009E0F64"/>
    <w:rsid w:val="009E385A"/>
    <w:rsid w:val="009F0218"/>
    <w:rsid w:val="00A013C3"/>
    <w:rsid w:val="00A017E8"/>
    <w:rsid w:val="00A10BB3"/>
    <w:rsid w:val="00A16AC3"/>
    <w:rsid w:val="00A236B7"/>
    <w:rsid w:val="00A26A2A"/>
    <w:rsid w:val="00A33093"/>
    <w:rsid w:val="00A37794"/>
    <w:rsid w:val="00A40F8E"/>
    <w:rsid w:val="00A45152"/>
    <w:rsid w:val="00A47ADD"/>
    <w:rsid w:val="00A55806"/>
    <w:rsid w:val="00A64E13"/>
    <w:rsid w:val="00A763B8"/>
    <w:rsid w:val="00A766ED"/>
    <w:rsid w:val="00A83453"/>
    <w:rsid w:val="00A939D4"/>
    <w:rsid w:val="00A9694E"/>
    <w:rsid w:val="00AA05D2"/>
    <w:rsid w:val="00AA0759"/>
    <w:rsid w:val="00AA0906"/>
    <w:rsid w:val="00AB3E32"/>
    <w:rsid w:val="00AC5F10"/>
    <w:rsid w:val="00AD3CC4"/>
    <w:rsid w:val="00AD4705"/>
    <w:rsid w:val="00AD6AB9"/>
    <w:rsid w:val="00AD79C4"/>
    <w:rsid w:val="00AE2684"/>
    <w:rsid w:val="00AE2ABA"/>
    <w:rsid w:val="00AF155F"/>
    <w:rsid w:val="00AF1926"/>
    <w:rsid w:val="00AF4C07"/>
    <w:rsid w:val="00AF534E"/>
    <w:rsid w:val="00B00E53"/>
    <w:rsid w:val="00B01AD0"/>
    <w:rsid w:val="00B255B9"/>
    <w:rsid w:val="00B27030"/>
    <w:rsid w:val="00B35B06"/>
    <w:rsid w:val="00B451F5"/>
    <w:rsid w:val="00B53906"/>
    <w:rsid w:val="00B54643"/>
    <w:rsid w:val="00B65A78"/>
    <w:rsid w:val="00B75AAF"/>
    <w:rsid w:val="00B769E5"/>
    <w:rsid w:val="00B90A0E"/>
    <w:rsid w:val="00B94E11"/>
    <w:rsid w:val="00B972BC"/>
    <w:rsid w:val="00B978A9"/>
    <w:rsid w:val="00BA3506"/>
    <w:rsid w:val="00BA7186"/>
    <w:rsid w:val="00BB4143"/>
    <w:rsid w:val="00BB4E86"/>
    <w:rsid w:val="00BB6E08"/>
    <w:rsid w:val="00BC423B"/>
    <w:rsid w:val="00BC5030"/>
    <w:rsid w:val="00BC73D2"/>
    <w:rsid w:val="00BD2CD1"/>
    <w:rsid w:val="00BE3393"/>
    <w:rsid w:val="00BF277B"/>
    <w:rsid w:val="00C237BB"/>
    <w:rsid w:val="00C248A3"/>
    <w:rsid w:val="00C2619F"/>
    <w:rsid w:val="00C44B52"/>
    <w:rsid w:val="00C45221"/>
    <w:rsid w:val="00C46112"/>
    <w:rsid w:val="00C4700E"/>
    <w:rsid w:val="00C52C90"/>
    <w:rsid w:val="00C55167"/>
    <w:rsid w:val="00C56DDA"/>
    <w:rsid w:val="00C72EFB"/>
    <w:rsid w:val="00C80DCC"/>
    <w:rsid w:val="00C817E5"/>
    <w:rsid w:val="00CA0274"/>
    <w:rsid w:val="00CA0DAF"/>
    <w:rsid w:val="00CA1EBC"/>
    <w:rsid w:val="00CA3835"/>
    <w:rsid w:val="00CA5866"/>
    <w:rsid w:val="00CB139A"/>
    <w:rsid w:val="00CC2489"/>
    <w:rsid w:val="00CE2CEF"/>
    <w:rsid w:val="00CE7108"/>
    <w:rsid w:val="00CF4F2A"/>
    <w:rsid w:val="00CF5B90"/>
    <w:rsid w:val="00D0520E"/>
    <w:rsid w:val="00D0551B"/>
    <w:rsid w:val="00D0711E"/>
    <w:rsid w:val="00D260AF"/>
    <w:rsid w:val="00D26179"/>
    <w:rsid w:val="00D2775F"/>
    <w:rsid w:val="00D40127"/>
    <w:rsid w:val="00D43E97"/>
    <w:rsid w:val="00D4710E"/>
    <w:rsid w:val="00D5113D"/>
    <w:rsid w:val="00D54899"/>
    <w:rsid w:val="00D55D71"/>
    <w:rsid w:val="00D7015A"/>
    <w:rsid w:val="00D759F2"/>
    <w:rsid w:val="00D93658"/>
    <w:rsid w:val="00D94D87"/>
    <w:rsid w:val="00D975D9"/>
    <w:rsid w:val="00DB49BD"/>
    <w:rsid w:val="00DC433D"/>
    <w:rsid w:val="00DE2DB7"/>
    <w:rsid w:val="00DE7645"/>
    <w:rsid w:val="00DF3ED3"/>
    <w:rsid w:val="00E00DFE"/>
    <w:rsid w:val="00E01B08"/>
    <w:rsid w:val="00E075BB"/>
    <w:rsid w:val="00E07A09"/>
    <w:rsid w:val="00E15119"/>
    <w:rsid w:val="00E20241"/>
    <w:rsid w:val="00E24F41"/>
    <w:rsid w:val="00E32B06"/>
    <w:rsid w:val="00E42D83"/>
    <w:rsid w:val="00E575E4"/>
    <w:rsid w:val="00E62C8B"/>
    <w:rsid w:val="00E64915"/>
    <w:rsid w:val="00E70A3E"/>
    <w:rsid w:val="00E72777"/>
    <w:rsid w:val="00E86383"/>
    <w:rsid w:val="00EB3C1D"/>
    <w:rsid w:val="00EC041E"/>
    <w:rsid w:val="00EC4EA2"/>
    <w:rsid w:val="00ED35A7"/>
    <w:rsid w:val="00ED6828"/>
    <w:rsid w:val="00EE1EDB"/>
    <w:rsid w:val="00EE735F"/>
    <w:rsid w:val="00F001FC"/>
    <w:rsid w:val="00F04201"/>
    <w:rsid w:val="00F05B25"/>
    <w:rsid w:val="00F161A7"/>
    <w:rsid w:val="00F179B2"/>
    <w:rsid w:val="00F44A19"/>
    <w:rsid w:val="00F44FDA"/>
    <w:rsid w:val="00F57734"/>
    <w:rsid w:val="00F57E24"/>
    <w:rsid w:val="00F60589"/>
    <w:rsid w:val="00F6084C"/>
    <w:rsid w:val="00F60FBE"/>
    <w:rsid w:val="00F63D9A"/>
    <w:rsid w:val="00F64123"/>
    <w:rsid w:val="00F65C59"/>
    <w:rsid w:val="00F677A1"/>
    <w:rsid w:val="00F700C7"/>
    <w:rsid w:val="00F721EE"/>
    <w:rsid w:val="00F74189"/>
    <w:rsid w:val="00F76A09"/>
    <w:rsid w:val="00F82DF2"/>
    <w:rsid w:val="00FA351E"/>
    <w:rsid w:val="00FB27DF"/>
    <w:rsid w:val="00FB2CBB"/>
    <w:rsid w:val="00FB47C2"/>
    <w:rsid w:val="00FB5024"/>
    <w:rsid w:val="00FB6A08"/>
    <w:rsid w:val="00FC061C"/>
    <w:rsid w:val="00FC0C7F"/>
    <w:rsid w:val="00FC10B7"/>
    <w:rsid w:val="00FC24C9"/>
    <w:rsid w:val="00FC382D"/>
    <w:rsid w:val="00FD04A7"/>
    <w:rsid w:val="00FD30A9"/>
    <w:rsid w:val="00FD5869"/>
    <w:rsid w:val="00FE2BDD"/>
    <w:rsid w:val="00FE40C1"/>
    <w:rsid w:val="00FF447C"/>
    <w:rsid w:val="00FF475A"/>
    <w:rsid w:val="00FF49AF"/>
    <w:rsid w:val="00FF7335"/>
    <w:rsid w:val="05344632"/>
    <w:rsid w:val="618512BE"/>
    <w:rsid w:val="62B1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4991AF0-754D-4F0C-A845-9FB6CA2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B47C2"/>
    <w:rPr>
      <w:color w:val="800080"/>
      <w:u w:val="single"/>
    </w:rPr>
  </w:style>
  <w:style w:type="character" w:customStyle="1" w:styleId="big1">
    <w:name w:val="big1"/>
    <w:basedOn w:val="a0"/>
    <w:rsid w:val="00FB47C2"/>
  </w:style>
  <w:style w:type="character" w:styleId="a4">
    <w:name w:val="Hyperlink"/>
    <w:basedOn w:val="a0"/>
    <w:rsid w:val="00FB47C2"/>
    <w:rPr>
      <w:color w:val="0000FF"/>
      <w:u w:val="single"/>
    </w:rPr>
  </w:style>
  <w:style w:type="character" w:styleId="a5">
    <w:name w:val="page number"/>
    <w:basedOn w:val="a0"/>
    <w:rsid w:val="00FB47C2"/>
  </w:style>
  <w:style w:type="character" w:customStyle="1" w:styleId="txt">
    <w:name w:val="txt"/>
    <w:basedOn w:val="a0"/>
    <w:rsid w:val="00FB47C2"/>
    <w:rPr>
      <w:b w:val="0"/>
      <w:color w:val="777777"/>
      <w:bdr w:val="single" w:sz="6" w:space="0" w:color="FFFFFF"/>
      <w:shd w:val="clear" w:color="auto" w:fill="FFFFFF"/>
    </w:rPr>
  </w:style>
  <w:style w:type="character" w:customStyle="1" w:styleId="sed">
    <w:name w:val="sed"/>
    <w:basedOn w:val="a0"/>
    <w:rsid w:val="00FB47C2"/>
    <w:rPr>
      <w:b/>
      <w:color w:val="FFFFFF"/>
      <w:shd w:val="clear" w:color="auto" w:fill="4670A0"/>
    </w:rPr>
  </w:style>
  <w:style w:type="character" w:customStyle="1" w:styleId="cate">
    <w:name w:val="cate"/>
    <w:basedOn w:val="a0"/>
    <w:rsid w:val="00FB47C2"/>
  </w:style>
  <w:style w:type="character" w:customStyle="1" w:styleId="cate1">
    <w:name w:val="cate1"/>
    <w:basedOn w:val="a0"/>
    <w:rsid w:val="00FB47C2"/>
    <w:rPr>
      <w:sz w:val="21"/>
      <w:szCs w:val="21"/>
    </w:rPr>
  </w:style>
  <w:style w:type="paragraph" w:styleId="a6">
    <w:name w:val="Body Text"/>
    <w:basedOn w:val="a"/>
    <w:rsid w:val="00FB47C2"/>
    <w:rPr>
      <w:b/>
      <w:bCs/>
      <w:szCs w:val="24"/>
    </w:rPr>
  </w:style>
  <w:style w:type="paragraph" w:styleId="1">
    <w:name w:val="toc 1"/>
    <w:basedOn w:val="a"/>
    <w:next w:val="a"/>
    <w:rsid w:val="00FB47C2"/>
    <w:pPr>
      <w:tabs>
        <w:tab w:val="right" w:leader="dot" w:pos="8836"/>
      </w:tabs>
      <w:ind w:leftChars="-77" w:left="1185" w:hangingChars="442" w:hanging="1351"/>
      <w:jc w:val="left"/>
    </w:pPr>
  </w:style>
  <w:style w:type="paragraph" w:customStyle="1" w:styleId="CharChar1Char">
    <w:name w:val="Char Char1 Char"/>
    <w:basedOn w:val="a"/>
    <w:rsid w:val="00FB47C2"/>
    <w:rPr>
      <w:szCs w:val="24"/>
    </w:rPr>
  </w:style>
  <w:style w:type="paragraph" w:styleId="3">
    <w:name w:val="Body Text Indent 3"/>
    <w:basedOn w:val="a"/>
    <w:rsid w:val="00FB47C2"/>
    <w:pPr>
      <w:spacing w:line="360" w:lineRule="auto"/>
      <w:ind w:right="-153" w:firstLine="538"/>
    </w:pPr>
    <w:rPr>
      <w:rFonts w:ascii="宋体" w:hAnsi="宋体"/>
      <w:bCs/>
      <w:kern w:val="0"/>
      <w:sz w:val="24"/>
    </w:rPr>
  </w:style>
  <w:style w:type="paragraph" w:styleId="a7">
    <w:name w:val="Balloon Text"/>
    <w:basedOn w:val="a"/>
    <w:semiHidden/>
    <w:rsid w:val="00FB47C2"/>
    <w:rPr>
      <w:sz w:val="18"/>
      <w:szCs w:val="18"/>
    </w:rPr>
  </w:style>
  <w:style w:type="paragraph" w:styleId="a8">
    <w:name w:val="header"/>
    <w:basedOn w:val="a"/>
    <w:rsid w:val="00FB47C2"/>
    <w:pPr>
      <w:pBdr>
        <w:bottom w:val="single" w:sz="6" w:space="1" w:color="auto"/>
      </w:pBdr>
      <w:tabs>
        <w:tab w:val="center" w:pos="4153"/>
        <w:tab w:val="right" w:pos="8306"/>
      </w:tabs>
      <w:snapToGrid w:val="0"/>
      <w:jc w:val="center"/>
    </w:pPr>
    <w:rPr>
      <w:sz w:val="18"/>
    </w:rPr>
  </w:style>
  <w:style w:type="paragraph" w:styleId="a9">
    <w:name w:val="Body Text Indent"/>
    <w:basedOn w:val="a"/>
    <w:rsid w:val="00FB47C2"/>
    <w:pPr>
      <w:spacing w:line="360" w:lineRule="auto"/>
      <w:ind w:firstLine="420"/>
    </w:pPr>
    <w:rPr>
      <w:sz w:val="24"/>
    </w:rPr>
  </w:style>
  <w:style w:type="paragraph" w:styleId="aa">
    <w:name w:val="Block Text"/>
    <w:basedOn w:val="a"/>
    <w:rsid w:val="00FB47C2"/>
    <w:pPr>
      <w:spacing w:line="360" w:lineRule="auto"/>
      <w:ind w:left="-82" w:right="-153" w:firstLine="480"/>
    </w:pPr>
    <w:rPr>
      <w:sz w:val="24"/>
      <w:szCs w:val="24"/>
    </w:rPr>
  </w:style>
  <w:style w:type="paragraph" w:styleId="2">
    <w:name w:val="Body Text Indent 2"/>
    <w:basedOn w:val="a"/>
    <w:rsid w:val="00FB47C2"/>
    <w:pPr>
      <w:spacing w:line="360" w:lineRule="auto"/>
      <w:ind w:firstLine="480"/>
    </w:pPr>
    <w:rPr>
      <w:sz w:val="24"/>
    </w:rPr>
  </w:style>
  <w:style w:type="paragraph" w:styleId="ab">
    <w:name w:val="footer"/>
    <w:basedOn w:val="a"/>
    <w:rsid w:val="00FB47C2"/>
    <w:pPr>
      <w:tabs>
        <w:tab w:val="center" w:pos="4153"/>
        <w:tab w:val="right" w:pos="8306"/>
      </w:tabs>
      <w:snapToGrid w:val="0"/>
      <w:jc w:val="left"/>
    </w:pPr>
    <w:rPr>
      <w:sz w:val="18"/>
    </w:rPr>
  </w:style>
  <w:style w:type="paragraph" w:styleId="ac">
    <w:name w:val="Normal (Web)"/>
    <w:basedOn w:val="a"/>
    <w:rsid w:val="00FB47C2"/>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FB47C2"/>
    <w:rPr>
      <w:rFonts w:ascii="Arial" w:hAnsi="Arial" w:cs="Arial"/>
      <w:sz w:val="20"/>
    </w:rPr>
  </w:style>
  <w:style w:type="paragraph" w:customStyle="1" w:styleId="Default">
    <w:name w:val="Default"/>
    <w:rsid w:val="00FB47C2"/>
    <w:pPr>
      <w:widowControl w:val="0"/>
      <w:autoSpaceDE w:val="0"/>
      <w:autoSpaceDN w:val="0"/>
      <w:adjustRightInd w:val="0"/>
    </w:pPr>
    <w:rPr>
      <w:rFonts w:ascii="宋体" w:cs="宋体"/>
      <w:color w:val="000000"/>
      <w:sz w:val="24"/>
      <w:szCs w:val="24"/>
    </w:rPr>
  </w:style>
  <w:style w:type="paragraph" w:customStyle="1" w:styleId="ad">
    <w:name w:val="缺省文本_宋体"/>
    <w:basedOn w:val="a"/>
    <w:rsid w:val="00317E5E"/>
    <w:pPr>
      <w:tabs>
        <w:tab w:val="left" w:pos="525"/>
        <w:tab w:val="center" w:pos="5670"/>
        <w:tab w:val="right" w:pos="7655"/>
      </w:tabs>
      <w:spacing w:before="80" w:after="120" w:line="360" w:lineRule="auto"/>
      <w:outlineLvl w:val="7"/>
    </w:pPr>
    <w:rPr>
      <w:spacing w:val="16"/>
      <w:kern w:val="28"/>
      <w:sz w:val="24"/>
    </w:rPr>
  </w:style>
  <w:style w:type="table" w:styleId="ae">
    <w:name w:val="Table Grid"/>
    <w:basedOn w:val="a1"/>
    <w:rsid w:val="0082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a"/>
    <w:rsid w:val="003B62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7973">
      <w:bodyDiv w:val="1"/>
      <w:marLeft w:val="0"/>
      <w:marRight w:val="0"/>
      <w:marTop w:val="0"/>
      <w:marBottom w:val="0"/>
      <w:divBdr>
        <w:top w:val="none" w:sz="0" w:space="0" w:color="auto"/>
        <w:left w:val="none" w:sz="0" w:space="0" w:color="auto"/>
        <w:bottom w:val="none" w:sz="0" w:space="0" w:color="auto"/>
        <w:right w:val="none" w:sz="0" w:space="0" w:color="auto"/>
      </w:divBdr>
      <w:divsChild>
        <w:div w:id="86316151">
          <w:marLeft w:val="0"/>
          <w:marRight w:val="0"/>
          <w:marTop w:val="0"/>
          <w:marBottom w:val="0"/>
          <w:divBdr>
            <w:top w:val="none" w:sz="0" w:space="0" w:color="auto"/>
            <w:left w:val="none" w:sz="0" w:space="0" w:color="auto"/>
            <w:bottom w:val="none" w:sz="0" w:space="0" w:color="auto"/>
            <w:right w:val="none" w:sz="0" w:space="0" w:color="auto"/>
          </w:divBdr>
          <w:divsChild>
            <w:div w:id="10051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9488">
      <w:bodyDiv w:val="1"/>
      <w:marLeft w:val="0"/>
      <w:marRight w:val="0"/>
      <w:marTop w:val="0"/>
      <w:marBottom w:val="0"/>
      <w:divBdr>
        <w:top w:val="none" w:sz="0" w:space="0" w:color="auto"/>
        <w:left w:val="none" w:sz="0" w:space="0" w:color="auto"/>
        <w:bottom w:val="none" w:sz="0" w:space="0" w:color="auto"/>
        <w:right w:val="none" w:sz="0" w:space="0" w:color="auto"/>
      </w:divBdr>
      <w:divsChild>
        <w:div w:id="325787494">
          <w:marLeft w:val="0"/>
          <w:marRight w:val="0"/>
          <w:marTop w:val="0"/>
          <w:marBottom w:val="0"/>
          <w:divBdr>
            <w:top w:val="none" w:sz="0" w:space="0" w:color="auto"/>
            <w:left w:val="none" w:sz="0" w:space="0" w:color="auto"/>
            <w:bottom w:val="none" w:sz="0" w:space="0" w:color="auto"/>
            <w:right w:val="none" w:sz="0" w:space="0" w:color="auto"/>
          </w:divBdr>
          <w:divsChild>
            <w:div w:id="599676547">
              <w:marLeft w:val="0"/>
              <w:marRight w:val="0"/>
              <w:marTop w:val="0"/>
              <w:marBottom w:val="0"/>
              <w:divBdr>
                <w:top w:val="none" w:sz="0" w:space="0" w:color="auto"/>
                <w:left w:val="none" w:sz="0" w:space="0" w:color="auto"/>
                <w:bottom w:val="none" w:sz="0" w:space="0" w:color="auto"/>
                <w:right w:val="none" w:sz="0" w:space="0" w:color="auto"/>
              </w:divBdr>
              <w:divsChild>
                <w:div w:id="599489218">
                  <w:marLeft w:val="0"/>
                  <w:marRight w:val="0"/>
                  <w:marTop w:val="0"/>
                  <w:marBottom w:val="0"/>
                  <w:divBdr>
                    <w:top w:val="single" w:sz="4" w:space="0" w:color="E5E5E5"/>
                    <w:left w:val="single" w:sz="4" w:space="0" w:color="E5E5E5"/>
                    <w:bottom w:val="single" w:sz="4" w:space="0" w:color="E5E5E5"/>
                    <w:right w:val="single" w:sz="4" w:space="0" w:color="E5E5E5"/>
                  </w:divBdr>
                  <w:divsChild>
                    <w:div w:id="1070808983">
                      <w:marLeft w:val="0"/>
                      <w:marRight w:val="0"/>
                      <w:marTop w:val="0"/>
                      <w:marBottom w:val="0"/>
                      <w:divBdr>
                        <w:top w:val="none" w:sz="0" w:space="0" w:color="auto"/>
                        <w:left w:val="none" w:sz="0" w:space="0" w:color="auto"/>
                        <w:bottom w:val="none" w:sz="0" w:space="0" w:color="auto"/>
                        <w:right w:val="none" w:sz="0" w:space="0" w:color="auto"/>
                      </w:divBdr>
                      <w:divsChild>
                        <w:div w:id="157902">
                          <w:marLeft w:val="0"/>
                          <w:marRight w:val="0"/>
                          <w:marTop w:val="0"/>
                          <w:marBottom w:val="0"/>
                          <w:divBdr>
                            <w:top w:val="none" w:sz="0" w:space="0" w:color="auto"/>
                            <w:left w:val="none" w:sz="0" w:space="0" w:color="auto"/>
                            <w:bottom w:val="none" w:sz="0" w:space="0" w:color="auto"/>
                            <w:right w:val="none" w:sz="0" w:space="0" w:color="auto"/>
                          </w:divBdr>
                          <w:divsChild>
                            <w:div w:id="40831737">
                              <w:marLeft w:val="0"/>
                              <w:marRight w:val="0"/>
                              <w:marTop w:val="0"/>
                              <w:marBottom w:val="0"/>
                              <w:divBdr>
                                <w:top w:val="none" w:sz="0" w:space="0" w:color="auto"/>
                                <w:left w:val="none" w:sz="0" w:space="0" w:color="auto"/>
                                <w:bottom w:val="none" w:sz="0" w:space="0" w:color="auto"/>
                                <w:right w:val="none" w:sz="0" w:space="0" w:color="auto"/>
                              </w:divBdr>
                              <w:divsChild>
                                <w:div w:id="1983654311">
                                  <w:marLeft w:val="0"/>
                                  <w:marRight w:val="0"/>
                                  <w:marTop w:val="0"/>
                                  <w:marBottom w:val="0"/>
                                  <w:divBdr>
                                    <w:top w:val="none" w:sz="0" w:space="0" w:color="auto"/>
                                    <w:left w:val="none" w:sz="0" w:space="0" w:color="auto"/>
                                    <w:bottom w:val="none" w:sz="0" w:space="0" w:color="auto"/>
                                    <w:right w:val="none" w:sz="0" w:space="0" w:color="auto"/>
                                  </w:divBdr>
                                  <w:divsChild>
                                    <w:div w:id="316766203">
                                      <w:marLeft w:val="0"/>
                                      <w:marRight w:val="0"/>
                                      <w:marTop w:val="0"/>
                                      <w:marBottom w:val="0"/>
                                      <w:divBdr>
                                        <w:top w:val="none" w:sz="0" w:space="0" w:color="auto"/>
                                        <w:left w:val="none" w:sz="0" w:space="0" w:color="auto"/>
                                        <w:bottom w:val="none" w:sz="0" w:space="0" w:color="auto"/>
                                        <w:right w:val="none" w:sz="0" w:space="0" w:color="auto"/>
                                      </w:divBdr>
                                      <w:divsChild>
                                        <w:div w:id="1135879067">
                                          <w:marLeft w:val="0"/>
                                          <w:marRight w:val="0"/>
                                          <w:marTop w:val="0"/>
                                          <w:marBottom w:val="0"/>
                                          <w:divBdr>
                                            <w:top w:val="none" w:sz="0" w:space="0" w:color="auto"/>
                                            <w:left w:val="none" w:sz="0" w:space="0" w:color="auto"/>
                                            <w:bottom w:val="none" w:sz="0" w:space="0" w:color="auto"/>
                                            <w:right w:val="none" w:sz="0" w:space="0" w:color="auto"/>
                                          </w:divBdr>
                                          <w:divsChild>
                                            <w:div w:id="324013963">
                                              <w:marLeft w:val="0"/>
                                              <w:marRight w:val="0"/>
                                              <w:marTop w:val="0"/>
                                              <w:marBottom w:val="0"/>
                                              <w:divBdr>
                                                <w:top w:val="none" w:sz="0" w:space="0" w:color="auto"/>
                                                <w:left w:val="none" w:sz="0" w:space="0" w:color="auto"/>
                                                <w:bottom w:val="none" w:sz="0" w:space="0" w:color="auto"/>
                                                <w:right w:val="none" w:sz="0" w:space="0" w:color="auto"/>
                                              </w:divBdr>
                                              <w:divsChild>
                                                <w:div w:id="953974783">
                                                  <w:marLeft w:val="0"/>
                                                  <w:marRight w:val="0"/>
                                                  <w:marTop w:val="0"/>
                                                  <w:marBottom w:val="0"/>
                                                  <w:divBdr>
                                                    <w:top w:val="none" w:sz="0" w:space="0" w:color="auto"/>
                                                    <w:left w:val="none" w:sz="0" w:space="0" w:color="auto"/>
                                                    <w:bottom w:val="none" w:sz="0" w:space="0" w:color="auto"/>
                                                    <w:right w:val="none" w:sz="0" w:space="0" w:color="auto"/>
                                                  </w:divBdr>
                                                  <w:divsChild>
                                                    <w:div w:id="20369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438123">
      <w:bodyDiv w:val="1"/>
      <w:marLeft w:val="0"/>
      <w:marRight w:val="0"/>
      <w:marTop w:val="0"/>
      <w:marBottom w:val="0"/>
      <w:divBdr>
        <w:top w:val="none" w:sz="0" w:space="0" w:color="auto"/>
        <w:left w:val="none" w:sz="0" w:space="0" w:color="auto"/>
        <w:bottom w:val="none" w:sz="0" w:space="0" w:color="auto"/>
        <w:right w:val="none" w:sz="0" w:space="0" w:color="auto"/>
      </w:divBdr>
    </w:div>
    <w:div w:id="796528565">
      <w:bodyDiv w:val="1"/>
      <w:marLeft w:val="0"/>
      <w:marRight w:val="0"/>
      <w:marTop w:val="0"/>
      <w:marBottom w:val="0"/>
      <w:divBdr>
        <w:top w:val="none" w:sz="0" w:space="0" w:color="auto"/>
        <w:left w:val="none" w:sz="0" w:space="0" w:color="auto"/>
        <w:bottom w:val="none" w:sz="0" w:space="0" w:color="auto"/>
        <w:right w:val="none" w:sz="0" w:space="0" w:color="auto"/>
      </w:divBdr>
      <w:divsChild>
        <w:div w:id="1242301882">
          <w:marLeft w:val="0"/>
          <w:marRight w:val="0"/>
          <w:marTop w:val="0"/>
          <w:marBottom w:val="0"/>
          <w:divBdr>
            <w:top w:val="none" w:sz="0" w:space="0" w:color="auto"/>
            <w:left w:val="none" w:sz="0" w:space="0" w:color="auto"/>
            <w:bottom w:val="none" w:sz="0" w:space="0" w:color="auto"/>
            <w:right w:val="none" w:sz="0" w:space="0" w:color="auto"/>
          </w:divBdr>
          <w:divsChild>
            <w:div w:id="2108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2708">
      <w:bodyDiv w:val="1"/>
      <w:marLeft w:val="0"/>
      <w:marRight w:val="0"/>
      <w:marTop w:val="0"/>
      <w:marBottom w:val="0"/>
      <w:divBdr>
        <w:top w:val="none" w:sz="0" w:space="0" w:color="auto"/>
        <w:left w:val="none" w:sz="0" w:space="0" w:color="auto"/>
        <w:bottom w:val="none" w:sz="0" w:space="0" w:color="auto"/>
        <w:right w:val="none" w:sz="0" w:space="0" w:color="auto"/>
      </w:divBdr>
    </w:div>
    <w:div w:id="1128820131">
      <w:bodyDiv w:val="1"/>
      <w:marLeft w:val="0"/>
      <w:marRight w:val="0"/>
      <w:marTop w:val="0"/>
      <w:marBottom w:val="0"/>
      <w:divBdr>
        <w:top w:val="none" w:sz="0" w:space="0" w:color="auto"/>
        <w:left w:val="none" w:sz="0" w:space="0" w:color="auto"/>
        <w:bottom w:val="none" w:sz="0" w:space="0" w:color="auto"/>
        <w:right w:val="none" w:sz="0" w:space="0" w:color="auto"/>
      </w:divBdr>
      <w:divsChild>
        <w:div w:id="819273695">
          <w:marLeft w:val="0"/>
          <w:marRight w:val="0"/>
          <w:marTop w:val="0"/>
          <w:marBottom w:val="0"/>
          <w:divBdr>
            <w:top w:val="none" w:sz="0" w:space="0" w:color="auto"/>
            <w:left w:val="none" w:sz="0" w:space="0" w:color="auto"/>
            <w:bottom w:val="none" w:sz="0" w:space="0" w:color="auto"/>
            <w:right w:val="none" w:sz="0" w:space="0" w:color="auto"/>
          </w:divBdr>
          <w:divsChild>
            <w:div w:id="1146315757">
              <w:marLeft w:val="0"/>
              <w:marRight w:val="0"/>
              <w:marTop w:val="0"/>
              <w:marBottom w:val="0"/>
              <w:divBdr>
                <w:top w:val="none" w:sz="0" w:space="0" w:color="auto"/>
                <w:left w:val="none" w:sz="0" w:space="0" w:color="auto"/>
                <w:bottom w:val="none" w:sz="0" w:space="0" w:color="auto"/>
                <w:right w:val="none" w:sz="0" w:space="0" w:color="auto"/>
              </w:divBdr>
              <w:divsChild>
                <w:div w:id="338508429">
                  <w:marLeft w:val="0"/>
                  <w:marRight w:val="0"/>
                  <w:marTop w:val="0"/>
                  <w:marBottom w:val="0"/>
                  <w:divBdr>
                    <w:top w:val="none" w:sz="0" w:space="0" w:color="auto"/>
                    <w:left w:val="none" w:sz="0" w:space="0" w:color="auto"/>
                    <w:bottom w:val="none" w:sz="0" w:space="0" w:color="auto"/>
                    <w:right w:val="none" w:sz="0" w:space="0" w:color="auto"/>
                  </w:divBdr>
                  <w:divsChild>
                    <w:div w:id="1962374139">
                      <w:marLeft w:val="0"/>
                      <w:marRight w:val="0"/>
                      <w:marTop w:val="0"/>
                      <w:marBottom w:val="0"/>
                      <w:divBdr>
                        <w:top w:val="none" w:sz="0" w:space="0" w:color="auto"/>
                        <w:left w:val="none" w:sz="0" w:space="0" w:color="auto"/>
                        <w:bottom w:val="none" w:sz="0" w:space="0" w:color="auto"/>
                        <w:right w:val="none" w:sz="0" w:space="0" w:color="auto"/>
                      </w:divBdr>
                      <w:divsChild>
                        <w:div w:id="560747749">
                          <w:marLeft w:val="0"/>
                          <w:marRight w:val="0"/>
                          <w:marTop w:val="15"/>
                          <w:marBottom w:val="0"/>
                          <w:divBdr>
                            <w:top w:val="none" w:sz="0" w:space="0" w:color="auto"/>
                            <w:left w:val="none" w:sz="0" w:space="0" w:color="auto"/>
                            <w:bottom w:val="none" w:sz="0" w:space="0" w:color="auto"/>
                            <w:right w:val="none" w:sz="0" w:space="0" w:color="auto"/>
                          </w:divBdr>
                          <w:divsChild>
                            <w:div w:id="1472792621">
                              <w:marLeft w:val="0"/>
                              <w:marRight w:val="0"/>
                              <w:marTop w:val="0"/>
                              <w:marBottom w:val="0"/>
                              <w:divBdr>
                                <w:top w:val="none" w:sz="0" w:space="0" w:color="auto"/>
                                <w:left w:val="none" w:sz="0" w:space="0" w:color="auto"/>
                                <w:bottom w:val="none" w:sz="0" w:space="0" w:color="auto"/>
                                <w:right w:val="none" w:sz="0" w:space="0" w:color="auto"/>
                              </w:divBdr>
                              <w:divsChild>
                                <w:div w:id="1405226981">
                                  <w:marLeft w:val="0"/>
                                  <w:marRight w:val="0"/>
                                  <w:marTop w:val="0"/>
                                  <w:marBottom w:val="0"/>
                                  <w:divBdr>
                                    <w:top w:val="none" w:sz="0" w:space="0" w:color="auto"/>
                                    <w:left w:val="none" w:sz="0" w:space="0" w:color="auto"/>
                                    <w:bottom w:val="none" w:sz="0" w:space="0" w:color="auto"/>
                                    <w:right w:val="none" w:sz="0" w:space="0" w:color="auto"/>
                                  </w:divBdr>
                                </w:div>
                                <w:div w:id="1164859110">
                                  <w:marLeft w:val="0"/>
                                  <w:marRight w:val="0"/>
                                  <w:marTop w:val="0"/>
                                  <w:marBottom w:val="0"/>
                                  <w:divBdr>
                                    <w:top w:val="none" w:sz="0" w:space="0" w:color="auto"/>
                                    <w:left w:val="none" w:sz="0" w:space="0" w:color="auto"/>
                                    <w:bottom w:val="none" w:sz="0" w:space="0" w:color="auto"/>
                                    <w:right w:val="none" w:sz="0" w:space="0" w:color="auto"/>
                                  </w:divBdr>
                                </w:div>
                                <w:div w:id="1436246561">
                                  <w:marLeft w:val="0"/>
                                  <w:marRight w:val="0"/>
                                  <w:marTop w:val="0"/>
                                  <w:marBottom w:val="0"/>
                                  <w:divBdr>
                                    <w:top w:val="none" w:sz="0" w:space="0" w:color="auto"/>
                                    <w:left w:val="none" w:sz="0" w:space="0" w:color="auto"/>
                                    <w:bottom w:val="none" w:sz="0" w:space="0" w:color="auto"/>
                                    <w:right w:val="none" w:sz="0" w:space="0" w:color="auto"/>
                                  </w:divBdr>
                                </w:div>
                                <w:div w:id="892811669">
                                  <w:marLeft w:val="0"/>
                                  <w:marRight w:val="0"/>
                                  <w:marTop w:val="0"/>
                                  <w:marBottom w:val="0"/>
                                  <w:divBdr>
                                    <w:top w:val="none" w:sz="0" w:space="0" w:color="auto"/>
                                    <w:left w:val="none" w:sz="0" w:space="0" w:color="auto"/>
                                    <w:bottom w:val="none" w:sz="0" w:space="0" w:color="auto"/>
                                    <w:right w:val="none" w:sz="0" w:space="0" w:color="auto"/>
                                  </w:divBdr>
                                </w:div>
                                <w:div w:id="804155222">
                                  <w:marLeft w:val="0"/>
                                  <w:marRight w:val="0"/>
                                  <w:marTop w:val="0"/>
                                  <w:marBottom w:val="0"/>
                                  <w:divBdr>
                                    <w:top w:val="none" w:sz="0" w:space="0" w:color="auto"/>
                                    <w:left w:val="none" w:sz="0" w:space="0" w:color="auto"/>
                                    <w:bottom w:val="none" w:sz="0" w:space="0" w:color="auto"/>
                                    <w:right w:val="none" w:sz="0" w:space="0" w:color="auto"/>
                                  </w:divBdr>
                                </w:div>
                                <w:div w:id="1551767685">
                                  <w:marLeft w:val="0"/>
                                  <w:marRight w:val="0"/>
                                  <w:marTop w:val="0"/>
                                  <w:marBottom w:val="0"/>
                                  <w:divBdr>
                                    <w:top w:val="none" w:sz="0" w:space="0" w:color="auto"/>
                                    <w:left w:val="none" w:sz="0" w:space="0" w:color="auto"/>
                                    <w:bottom w:val="none" w:sz="0" w:space="0" w:color="auto"/>
                                    <w:right w:val="none" w:sz="0" w:space="0" w:color="auto"/>
                                  </w:divBdr>
                                </w:div>
                                <w:div w:id="638925884">
                                  <w:marLeft w:val="0"/>
                                  <w:marRight w:val="0"/>
                                  <w:marTop w:val="0"/>
                                  <w:marBottom w:val="0"/>
                                  <w:divBdr>
                                    <w:top w:val="none" w:sz="0" w:space="0" w:color="auto"/>
                                    <w:left w:val="none" w:sz="0" w:space="0" w:color="auto"/>
                                    <w:bottom w:val="none" w:sz="0" w:space="0" w:color="auto"/>
                                    <w:right w:val="none" w:sz="0" w:space="0" w:color="auto"/>
                                  </w:divBdr>
                                </w:div>
                                <w:div w:id="1701934525">
                                  <w:marLeft w:val="0"/>
                                  <w:marRight w:val="0"/>
                                  <w:marTop w:val="0"/>
                                  <w:marBottom w:val="0"/>
                                  <w:divBdr>
                                    <w:top w:val="none" w:sz="0" w:space="0" w:color="auto"/>
                                    <w:left w:val="none" w:sz="0" w:space="0" w:color="auto"/>
                                    <w:bottom w:val="none" w:sz="0" w:space="0" w:color="auto"/>
                                    <w:right w:val="none" w:sz="0" w:space="0" w:color="auto"/>
                                  </w:divBdr>
                                </w:div>
                                <w:div w:id="191577106">
                                  <w:marLeft w:val="0"/>
                                  <w:marRight w:val="0"/>
                                  <w:marTop w:val="0"/>
                                  <w:marBottom w:val="0"/>
                                  <w:divBdr>
                                    <w:top w:val="none" w:sz="0" w:space="0" w:color="auto"/>
                                    <w:left w:val="none" w:sz="0" w:space="0" w:color="auto"/>
                                    <w:bottom w:val="none" w:sz="0" w:space="0" w:color="auto"/>
                                    <w:right w:val="none" w:sz="0" w:space="0" w:color="auto"/>
                                  </w:divBdr>
                                </w:div>
                                <w:div w:id="440148701">
                                  <w:marLeft w:val="0"/>
                                  <w:marRight w:val="0"/>
                                  <w:marTop w:val="0"/>
                                  <w:marBottom w:val="0"/>
                                  <w:divBdr>
                                    <w:top w:val="none" w:sz="0" w:space="0" w:color="auto"/>
                                    <w:left w:val="none" w:sz="0" w:space="0" w:color="auto"/>
                                    <w:bottom w:val="none" w:sz="0" w:space="0" w:color="auto"/>
                                    <w:right w:val="none" w:sz="0" w:space="0" w:color="auto"/>
                                  </w:divBdr>
                                </w:div>
                                <w:div w:id="2065248461">
                                  <w:marLeft w:val="0"/>
                                  <w:marRight w:val="0"/>
                                  <w:marTop w:val="0"/>
                                  <w:marBottom w:val="0"/>
                                  <w:divBdr>
                                    <w:top w:val="none" w:sz="0" w:space="0" w:color="auto"/>
                                    <w:left w:val="none" w:sz="0" w:space="0" w:color="auto"/>
                                    <w:bottom w:val="none" w:sz="0" w:space="0" w:color="auto"/>
                                    <w:right w:val="none" w:sz="0" w:space="0" w:color="auto"/>
                                  </w:divBdr>
                                </w:div>
                                <w:div w:id="1135484208">
                                  <w:marLeft w:val="0"/>
                                  <w:marRight w:val="0"/>
                                  <w:marTop w:val="0"/>
                                  <w:marBottom w:val="0"/>
                                  <w:divBdr>
                                    <w:top w:val="none" w:sz="0" w:space="0" w:color="auto"/>
                                    <w:left w:val="none" w:sz="0" w:space="0" w:color="auto"/>
                                    <w:bottom w:val="none" w:sz="0" w:space="0" w:color="auto"/>
                                    <w:right w:val="none" w:sz="0" w:space="0" w:color="auto"/>
                                  </w:divBdr>
                                </w:div>
                                <w:div w:id="1110247563">
                                  <w:marLeft w:val="0"/>
                                  <w:marRight w:val="0"/>
                                  <w:marTop w:val="0"/>
                                  <w:marBottom w:val="0"/>
                                  <w:divBdr>
                                    <w:top w:val="none" w:sz="0" w:space="0" w:color="auto"/>
                                    <w:left w:val="none" w:sz="0" w:space="0" w:color="auto"/>
                                    <w:bottom w:val="none" w:sz="0" w:space="0" w:color="auto"/>
                                    <w:right w:val="none" w:sz="0" w:space="0" w:color="auto"/>
                                  </w:divBdr>
                                </w:div>
                                <w:div w:id="1013608842">
                                  <w:marLeft w:val="0"/>
                                  <w:marRight w:val="0"/>
                                  <w:marTop w:val="0"/>
                                  <w:marBottom w:val="0"/>
                                  <w:divBdr>
                                    <w:top w:val="none" w:sz="0" w:space="0" w:color="auto"/>
                                    <w:left w:val="none" w:sz="0" w:space="0" w:color="auto"/>
                                    <w:bottom w:val="none" w:sz="0" w:space="0" w:color="auto"/>
                                    <w:right w:val="none" w:sz="0" w:space="0" w:color="auto"/>
                                  </w:divBdr>
                                </w:div>
                                <w:div w:id="1495799438">
                                  <w:marLeft w:val="0"/>
                                  <w:marRight w:val="0"/>
                                  <w:marTop w:val="0"/>
                                  <w:marBottom w:val="0"/>
                                  <w:divBdr>
                                    <w:top w:val="none" w:sz="0" w:space="0" w:color="auto"/>
                                    <w:left w:val="none" w:sz="0" w:space="0" w:color="auto"/>
                                    <w:bottom w:val="none" w:sz="0" w:space="0" w:color="auto"/>
                                    <w:right w:val="none" w:sz="0" w:space="0" w:color="auto"/>
                                  </w:divBdr>
                                </w:div>
                                <w:div w:id="1352488815">
                                  <w:marLeft w:val="0"/>
                                  <w:marRight w:val="0"/>
                                  <w:marTop w:val="0"/>
                                  <w:marBottom w:val="0"/>
                                  <w:divBdr>
                                    <w:top w:val="none" w:sz="0" w:space="0" w:color="auto"/>
                                    <w:left w:val="none" w:sz="0" w:space="0" w:color="auto"/>
                                    <w:bottom w:val="none" w:sz="0" w:space="0" w:color="auto"/>
                                    <w:right w:val="none" w:sz="0" w:space="0" w:color="auto"/>
                                  </w:divBdr>
                                </w:div>
                                <w:div w:id="1701663467">
                                  <w:marLeft w:val="0"/>
                                  <w:marRight w:val="0"/>
                                  <w:marTop w:val="0"/>
                                  <w:marBottom w:val="0"/>
                                  <w:divBdr>
                                    <w:top w:val="none" w:sz="0" w:space="0" w:color="auto"/>
                                    <w:left w:val="none" w:sz="0" w:space="0" w:color="auto"/>
                                    <w:bottom w:val="none" w:sz="0" w:space="0" w:color="auto"/>
                                    <w:right w:val="none" w:sz="0" w:space="0" w:color="auto"/>
                                  </w:divBdr>
                                </w:div>
                                <w:div w:id="458037214">
                                  <w:marLeft w:val="0"/>
                                  <w:marRight w:val="0"/>
                                  <w:marTop w:val="0"/>
                                  <w:marBottom w:val="0"/>
                                  <w:divBdr>
                                    <w:top w:val="none" w:sz="0" w:space="0" w:color="auto"/>
                                    <w:left w:val="none" w:sz="0" w:space="0" w:color="auto"/>
                                    <w:bottom w:val="none" w:sz="0" w:space="0" w:color="auto"/>
                                    <w:right w:val="none" w:sz="0" w:space="0" w:color="auto"/>
                                  </w:divBdr>
                                </w:div>
                                <w:div w:id="4930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2210">
      <w:bodyDiv w:val="1"/>
      <w:marLeft w:val="0"/>
      <w:marRight w:val="0"/>
      <w:marTop w:val="0"/>
      <w:marBottom w:val="0"/>
      <w:divBdr>
        <w:top w:val="none" w:sz="0" w:space="0" w:color="auto"/>
        <w:left w:val="none" w:sz="0" w:space="0" w:color="auto"/>
        <w:bottom w:val="none" w:sz="0" w:space="0" w:color="auto"/>
        <w:right w:val="none" w:sz="0" w:space="0" w:color="auto"/>
      </w:divBdr>
    </w:div>
    <w:div w:id="1530797772">
      <w:bodyDiv w:val="1"/>
      <w:marLeft w:val="0"/>
      <w:marRight w:val="0"/>
      <w:marTop w:val="0"/>
      <w:marBottom w:val="0"/>
      <w:divBdr>
        <w:top w:val="none" w:sz="0" w:space="0" w:color="auto"/>
        <w:left w:val="none" w:sz="0" w:space="0" w:color="auto"/>
        <w:bottom w:val="none" w:sz="0" w:space="0" w:color="auto"/>
        <w:right w:val="none" w:sz="0" w:space="0" w:color="auto"/>
      </w:divBdr>
      <w:divsChild>
        <w:div w:id="254243720">
          <w:marLeft w:val="0"/>
          <w:marRight w:val="0"/>
          <w:marTop w:val="0"/>
          <w:marBottom w:val="120"/>
          <w:divBdr>
            <w:top w:val="none" w:sz="0" w:space="0" w:color="auto"/>
            <w:left w:val="none" w:sz="0" w:space="0" w:color="auto"/>
            <w:bottom w:val="none" w:sz="0" w:space="0" w:color="auto"/>
            <w:right w:val="none" w:sz="0" w:space="0" w:color="auto"/>
          </w:divBdr>
        </w:div>
      </w:divsChild>
    </w:div>
    <w:div w:id="1638147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0953D-F386-4193-B134-8DDD7AF8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567</Words>
  <Characters>3237</Characters>
  <Application>Microsoft Office Word</Application>
  <DocSecurity>0</DocSecurity>
  <PresentationFormat/>
  <Lines>26</Lines>
  <Paragraphs>7</Paragraphs>
  <Slides>0</Slides>
  <Notes>0</Notes>
  <HiddenSlides>0</HiddenSlides>
  <MMClips>0</MMClips>
  <ScaleCrop>false</ScaleCrop>
  <Company>Microsoft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dc:title>
  <dc:creator>稽察特派员</dc:creator>
  <cp:lastModifiedBy>cqca</cp:lastModifiedBy>
  <cp:revision>59</cp:revision>
  <cp:lastPrinted>2018-04-11T10:05:00Z</cp:lastPrinted>
  <dcterms:created xsi:type="dcterms:W3CDTF">2018-04-11T10:52:00Z</dcterms:created>
  <dcterms:modified xsi:type="dcterms:W3CDTF">2018-04-17T09:39:00Z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